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43BF" w14:textId="77777777" w:rsidR="005A2714" w:rsidRPr="005A2714" w:rsidRDefault="005A2714" w:rsidP="005A2714">
      <w:pPr>
        <w:rPr>
          <w:bCs/>
          <w:lang w:val="fi-FI"/>
        </w:rPr>
      </w:pPr>
      <w:r w:rsidRPr="005A2714">
        <w:rPr>
          <w:bCs/>
          <w:lang w:val="fi-FI"/>
        </w:rPr>
        <w:t>TANSSIN TIEDOTUSKESKUS – DANCE INFO FINLAND</w:t>
      </w:r>
    </w:p>
    <w:p w14:paraId="4DF4C13D" w14:textId="77D504AB" w:rsidR="005A2714" w:rsidRDefault="005A2714" w:rsidP="005A2714">
      <w:pPr>
        <w:rPr>
          <w:bCs/>
          <w:lang w:val="fi-FI"/>
        </w:rPr>
      </w:pPr>
      <w:r>
        <w:rPr>
          <w:bCs/>
          <w:lang w:val="fi-FI"/>
        </w:rPr>
        <w:t>Yhteenveto vuoden 201</w:t>
      </w:r>
      <w:r w:rsidR="00B42752">
        <w:rPr>
          <w:bCs/>
          <w:lang w:val="fi-FI"/>
        </w:rPr>
        <w:t>9</w:t>
      </w:r>
      <w:r w:rsidRPr="005A2714">
        <w:rPr>
          <w:bCs/>
          <w:lang w:val="fi-FI"/>
        </w:rPr>
        <w:t xml:space="preserve"> tanssitilastoista</w:t>
      </w:r>
    </w:p>
    <w:p w14:paraId="494D522F" w14:textId="77777777" w:rsidR="007D4D66" w:rsidRDefault="007D4D66" w:rsidP="00577205">
      <w:pPr>
        <w:spacing w:line="240" w:lineRule="auto"/>
        <w:rPr>
          <w:rFonts w:eastAsia="Times New Roman"/>
          <w:b/>
          <w:color w:val="222222"/>
          <w:sz w:val="28"/>
          <w:szCs w:val="28"/>
          <w:shd w:val="clear" w:color="auto" w:fill="FFFFFF"/>
          <w:lang w:val="fi-FI"/>
        </w:rPr>
      </w:pPr>
    </w:p>
    <w:p w14:paraId="09924FC4" w14:textId="77777777" w:rsidR="00577205" w:rsidRPr="00577205" w:rsidRDefault="00577205" w:rsidP="0057720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fi-FI"/>
        </w:rPr>
      </w:pPr>
      <w:r w:rsidRPr="00577205">
        <w:rPr>
          <w:rFonts w:eastAsia="Times New Roman"/>
          <w:b/>
          <w:color w:val="222222"/>
          <w:sz w:val="28"/>
          <w:szCs w:val="28"/>
          <w:shd w:val="clear" w:color="auto" w:fill="FFFFFF"/>
          <w:lang w:val="fi-FI"/>
        </w:rPr>
        <w:t>Suomalaiset tanssintekijät tavoittavat edelleen yli puoli miljoonaa ihmistä vuodessa</w:t>
      </w:r>
    </w:p>
    <w:p w14:paraId="2B916240" w14:textId="77777777" w:rsidR="0033422F" w:rsidRDefault="0033422F" w:rsidP="001F6DC0"/>
    <w:p w14:paraId="03730D6A" w14:textId="7E891401" w:rsidR="00C609AE" w:rsidRPr="00426931" w:rsidRDefault="003C74B2" w:rsidP="001F6DC0">
      <w:pPr>
        <w:rPr>
          <w:i/>
        </w:rPr>
      </w:pPr>
      <w:r>
        <w:rPr>
          <w:i/>
        </w:rPr>
        <w:t>Suomalaisen t</w:t>
      </w:r>
      <w:r w:rsidR="00377089">
        <w:rPr>
          <w:i/>
        </w:rPr>
        <w:t>anssi</w:t>
      </w:r>
      <w:r w:rsidR="00B42752">
        <w:rPr>
          <w:i/>
        </w:rPr>
        <w:t>taiteen</w:t>
      </w:r>
      <w:r w:rsidR="00377089">
        <w:rPr>
          <w:i/>
        </w:rPr>
        <w:t xml:space="preserve"> katsoja- ja kokijaluvut ovat vakiintuneet. Jo usean vuoden ajan </w:t>
      </w:r>
      <w:r>
        <w:rPr>
          <w:i/>
        </w:rPr>
        <w:t>tanssin k</w:t>
      </w:r>
      <w:r w:rsidR="00B272DE">
        <w:rPr>
          <w:i/>
        </w:rPr>
        <w:t>okonaise</w:t>
      </w:r>
      <w:r w:rsidR="001F6DC0" w:rsidRPr="00426931">
        <w:rPr>
          <w:i/>
        </w:rPr>
        <w:t xml:space="preserve">sitysmäärä </w:t>
      </w:r>
      <w:r>
        <w:rPr>
          <w:i/>
        </w:rPr>
        <w:t>on ollut</w:t>
      </w:r>
      <w:r w:rsidR="001F6DC0" w:rsidRPr="00426931">
        <w:rPr>
          <w:i/>
        </w:rPr>
        <w:t xml:space="preserve"> </w:t>
      </w:r>
      <w:r>
        <w:rPr>
          <w:i/>
        </w:rPr>
        <w:t>lähes</w:t>
      </w:r>
      <w:r w:rsidR="001F6DC0" w:rsidRPr="00426931">
        <w:rPr>
          <w:i/>
        </w:rPr>
        <w:t xml:space="preserve"> 3 000 </w:t>
      </w:r>
      <w:r>
        <w:rPr>
          <w:i/>
        </w:rPr>
        <w:t>esitystä</w:t>
      </w:r>
      <w:r w:rsidR="001F6DC0" w:rsidRPr="00426931">
        <w:rPr>
          <w:i/>
        </w:rPr>
        <w:t xml:space="preserve"> vuodessa</w:t>
      </w:r>
      <w:r>
        <w:rPr>
          <w:i/>
        </w:rPr>
        <w:t xml:space="preserve">, ja </w:t>
      </w:r>
      <w:r w:rsidR="00C609AE" w:rsidRPr="00426931">
        <w:rPr>
          <w:i/>
        </w:rPr>
        <w:t xml:space="preserve">katsojia ja kokijoita </w:t>
      </w:r>
      <w:r>
        <w:rPr>
          <w:i/>
        </w:rPr>
        <w:t xml:space="preserve">tanssi on saanut </w:t>
      </w:r>
      <w:r w:rsidR="00C609AE" w:rsidRPr="00426931">
        <w:rPr>
          <w:i/>
        </w:rPr>
        <w:t>reilu puoli miljoonaa.</w:t>
      </w:r>
      <w:r>
        <w:rPr>
          <w:i/>
        </w:rPr>
        <w:t xml:space="preserve"> </w:t>
      </w:r>
    </w:p>
    <w:p w14:paraId="6FD65F04" w14:textId="77777777" w:rsidR="00F31624" w:rsidRDefault="00F31624" w:rsidP="00D40576">
      <w:pPr>
        <w:rPr>
          <w:b/>
          <w:sz w:val="28"/>
          <w:szCs w:val="28"/>
        </w:rPr>
      </w:pPr>
    </w:p>
    <w:p w14:paraId="574A8EB3" w14:textId="1BF2AD5B" w:rsidR="003C74B2" w:rsidRDefault="003C74B2" w:rsidP="00D40576">
      <w:r>
        <w:t xml:space="preserve">Pienellä alalla yksittäiset muutokset toimintaympäristössä tai vuosittainen vaihtelu jopa vain yhden tanssiryhmän toiminnassa, esitystilassa tai rahoituksessa näkyvät heti tilastoluvuissa. Vuonna 2019 tällainen tekijä oli esimerkiksi Taiteen keskustoimikunnan </w:t>
      </w:r>
      <w:r w:rsidR="00AE05E4">
        <w:t xml:space="preserve">tanssille </w:t>
      </w:r>
      <w:r>
        <w:t xml:space="preserve">myöntämien </w:t>
      </w:r>
      <w:r w:rsidR="00AE05E4">
        <w:t>kohdeapurahojen määrän lisääntyminen, jonka seurauksena produktiokohtaiset freelance-ryhmät tekivät enemmän esityksiä ja saivat enemmän katsojia kuin edellisenä vuonna.</w:t>
      </w:r>
    </w:p>
    <w:p w14:paraId="5BB8F88B" w14:textId="77777777" w:rsidR="003C74B2" w:rsidRDefault="003C74B2" w:rsidP="00D40576"/>
    <w:p w14:paraId="1E90B1EB" w14:textId="32C70834" w:rsidR="00D40576" w:rsidRDefault="001F6DC0" w:rsidP="00D40576">
      <w:r>
        <w:t xml:space="preserve">Katsojien määrä kotimaassa </w:t>
      </w:r>
      <w:r w:rsidR="00AA2E4F">
        <w:t>kasvoi edellisvuodesta 10 </w:t>
      </w:r>
      <w:r w:rsidR="00AA2E4F" w:rsidRPr="00F45EE0">
        <w:t>000</w:t>
      </w:r>
      <w:r w:rsidR="007D4D66" w:rsidRPr="00F45EE0">
        <w:t>:lla</w:t>
      </w:r>
      <w:r w:rsidR="00C609AE" w:rsidRPr="00F45EE0">
        <w:t xml:space="preserve">. </w:t>
      </w:r>
      <w:r w:rsidR="00D40576" w:rsidRPr="00F45EE0">
        <w:t>Suomessa</w:t>
      </w:r>
      <w:r w:rsidR="00D40576">
        <w:t xml:space="preserve"> esityksiä kävi vuonna 20</w:t>
      </w:r>
      <w:r w:rsidR="00C609AE">
        <w:t>1</w:t>
      </w:r>
      <w:r w:rsidR="00AA2E4F">
        <w:t>9</w:t>
      </w:r>
      <w:r w:rsidR="00D40576">
        <w:t xml:space="preserve"> katsomassa </w:t>
      </w:r>
      <w:r w:rsidR="00C609AE">
        <w:t>3</w:t>
      </w:r>
      <w:r w:rsidR="00AA2E4F">
        <w:t xml:space="preserve">79 </w:t>
      </w:r>
      <w:r w:rsidR="00C609AE">
        <w:t>000 ihmistä (201</w:t>
      </w:r>
      <w:r w:rsidR="00AA2E4F">
        <w:t>8</w:t>
      </w:r>
      <w:r w:rsidR="00C609AE">
        <w:t xml:space="preserve">: </w:t>
      </w:r>
      <w:r w:rsidR="00D40576">
        <w:t>3</w:t>
      </w:r>
      <w:r w:rsidR="00AA2E4F">
        <w:t>69</w:t>
      </w:r>
      <w:r w:rsidR="00C609AE">
        <w:t> </w:t>
      </w:r>
      <w:r w:rsidR="00D40576">
        <w:t>000</w:t>
      </w:r>
      <w:r w:rsidR="00C609AE">
        <w:t>), y</w:t>
      </w:r>
      <w:r w:rsidR="00D40576">
        <w:t xml:space="preserve">leisötyön ja yhteisötanssin tilaisuuksiin osallistui </w:t>
      </w:r>
      <w:r w:rsidR="00C609AE">
        <w:t>1</w:t>
      </w:r>
      <w:r w:rsidR="00130141">
        <w:t>12</w:t>
      </w:r>
      <w:r w:rsidR="00C609AE">
        <w:t> 000 (201</w:t>
      </w:r>
      <w:r w:rsidR="00AA2E4F">
        <w:t>8</w:t>
      </w:r>
      <w:r w:rsidR="00C609AE">
        <w:t xml:space="preserve">: </w:t>
      </w:r>
      <w:r w:rsidR="00D40576">
        <w:t>1</w:t>
      </w:r>
      <w:r w:rsidR="00AA2E4F">
        <w:t>10</w:t>
      </w:r>
      <w:r w:rsidR="00C609AE">
        <w:t> </w:t>
      </w:r>
      <w:r w:rsidR="00D40576">
        <w:t>000</w:t>
      </w:r>
      <w:r w:rsidR="00C609AE">
        <w:t>)</w:t>
      </w:r>
      <w:r w:rsidR="00D40576">
        <w:t xml:space="preserve"> ja tanssielokuv</w:t>
      </w:r>
      <w:r w:rsidR="00C609AE">
        <w:t xml:space="preserve">at tavoittivat </w:t>
      </w:r>
      <w:r w:rsidR="00882B7D">
        <w:t xml:space="preserve">18 000 katsojaa, </w:t>
      </w:r>
      <w:r w:rsidR="00AA2E4F">
        <w:t xml:space="preserve">hitusen enemmän </w:t>
      </w:r>
      <w:r w:rsidR="00C609AE">
        <w:t>kuin edellisvuonna</w:t>
      </w:r>
      <w:r w:rsidR="00D40576">
        <w:t xml:space="preserve">. Ulkomailla suomalaista tanssia näki </w:t>
      </w:r>
      <w:r w:rsidR="007E4EFA">
        <w:t>2</w:t>
      </w:r>
      <w:r w:rsidR="00AA2E4F">
        <w:t>8</w:t>
      </w:r>
      <w:r w:rsidR="00C609AE">
        <w:t> 000 katsojaa (201</w:t>
      </w:r>
      <w:r w:rsidR="00AA2E4F">
        <w:t>8</w:t>
      </w:r>
      <w:r w:rsidR="00C609AE">
        <w:t xml:space="preserve">: </w:t>
      </w:r>
      <w:r w:rsidR="00AA2E4F">
        <w:t>30</w:t>
      </w:r>
      <w:r w:rsidR="00C609AE">
        <w:t> </w:t>
      </w:r>
      <w:r w:rsidR="00D40576">
        <w:t>000</w:t>
      </w:r>
      <w:r w:rsidR="00C609AE">
        <w:t>)</w:t>
      </w:r>
      <w:r w:rsidR="00D40576">
        <w:t xml:space="preserve">. Kun lukuun lisätään vielä tanssikentän ulkopuolisten toimijoiden Suomeen tuomat ulkomaiset tanssiesitykset ja niiden katsojat, </w:t>
      </w:r>
      <w:r w:rsidR="00C609AE">
        <w:t>noin</w:t>
      </w:r>
      <w:r w:rsidR="00D40576">
        <w:t xml:space="preserve"> </w:t>
      </w:r>
      <w:r w:rsidR="00391823">
        <w:t>18</w:t>
      </w:r>
      <w:r w:rsidR="00D40576">
        <w:t xml:space="preserve"> 000, ollaan yhteensä </w:t>
      </w:r>
      <w:r w:rsidR="00391823">
        <w:t>noin</w:t>
      </w:r>
      <w:r w:rsidR="00C609AE">
        <w:t xml:space="preserve"> 550</w:t>
      </w:r>
      <w:r w:rsidR="00D40576">
        <w:t xml:space="preserve"> 000 </w:t>
      </w:r>
      <w:r w:rsidR="00184D25">
        <w:t xml:space="preserve">tanssin </w:t>
      </w:r>
      <w:r w:rsidR="00D40576">
        <w:t>katsojassa</w:t>
      </w:r>
      <w:r w:rsidR="007862ED">
        <w:t xml:space="preserve"> ja kokijassa</w:t>
      </w:r>
      <w:r w:rsidR="00D40576">
        <w:t>.</w:t>
      </w:r>
    </w:p>
    <w:p w14:paraId="30063766" w14:textId="77777777" w:rsidR="00D40576" w:rsidRDefault="00D40576" w:rsidP="00D40576"/>
    <w:p w14:paraId="79881247" w14:textId="787D2F39" w:rsidR="00C609AE" w:rsidRPr="00520E1C" w:rsidRDefault="00882B7D" w:rsidP="00D40576">
      <w:pPr>
        <w:rPr>
          <w:b/>
        </w:rPr>
      </w:pPr>
      <w:r>
        <w:rPr>
          <w:b/>
        </w:rPr>
        <w:t xml:space="preserve">Enemmän uusia teoksia, mutta vähemmän </w:t>
      </w:r>
      <w:r w:rsidR="00552381">
        <w:rPr>
          <w:b/>
        </w:rPr>
        <w:t>esityskertoja</w:t>
      </w:r>
    </w:p>
    <w:p w14:paraId="74321FE8" w14:textId="77777777" w:rsidR="00553418" w:rsidRDefault="00553418" w:rsidP="00D40576"/>
    <w:p w14:paraId="41FEF9B2" w14:textId="6BD1567C" w:rsidR="00B272DE" w:rsidRDefault="00553418" w:rsidP="00D40576">
      <w:r>
        <w:t>Suomalais</w:t>
      </w:r>
      <w:r w:rsidR="00F52333">
        <w:t>illa</w:t>
      </w:r>
      <w:r>
        <w:t xml:space="preserve"> tanssiryhmillä ja tuotantokeskuksilla oli vuonna 201</w:t>
      </w:r>
      <w:r w:rsidR="007D0FF0">
        <w:t>9</w:t>
      </w:r>
      <w:r>
        <w:t xml:space="preserve"> yhteensä </w:t>
      </w:r>
      <w:r w:rsidR="007D0FF0">
        <w:t xml:space="preserve">2 829 </w:t>
      </w:r>
      <w:r>
        <w:t>esitystä (201</w:t>
      </w:r>
      <w:r w:rsidR="007D0FF0">
        <w:t>8</w:t>
      </w:r>
      <w:r>
        <w:t>:</w:t>
      </w:r>
      <w:r w:rsidR="007D0FF0" w:rsidRPr="007D0FF0">
        <w:t xml:space="preserve"> </w:t>
      </w:r>
      <w:r w:rsidR="007D0FF0">
        <w:t>2 859 ja 2017: 2 757</w:t>
      </w:r>
      <w:r>
        <w:t xml:space="preserve">). </w:t>
      </w:r>
    </w:p>
    <w:p w14:paraId="05965994" w14:textId="73F74899" w:rsidR="007D0FF0" w:rsidRDefault="007D0FF0" w:rsidP="00D40576"/>
    <w:p w14:paraId="3E7700D8" w14:textId="76B4F872" w:rsidR="00022711" w:rsidRDefault="007D0FF0" w:rsidP="00D40576">
      <w:r>
        <w:t>Tanssi</w:t>
      </w:r>
      <w:r w:rsidR="00B42752">
        <w:t>teosten</w:t>
      </w:r>
      <w:r>
        <w:t xml:space="preserve"> kantaesityksiä tehtiin 159, mikä on hieman enemmän kuin edellisvuonna (143). </w:t>
      </w:r>
      <w:r w:rsidR="00022711">
        <w:t>Puolet vuoden kantaesityksistä oli produktiokohtaisia avustuksia saaneiden ryhmien ja yksittäisten koreografien tekemiä, ja reilusti yli puolta näistä esitettiin vain 1</w:t>
      </w:r>
      <w:r w:rsidR="00E14DEF">
        <w:softHyphen/>
        <w:t>–</w:t>
      </w:r>
      <w:r w:rsidR="00022711">
        <w:t xml:space="preserve">5 kertaa. </w:t>
      </w:r>
    </w:p>
    <w:p w14:paraId="0BA95BB2" w14:textId="7B2F792D" w:rsidR="00A17844" w:rsidRDefault="00A17844" w:rsidP="00D40576"/>
    <w:p w14:paraId="27966F58" w14:textId="3A7BF0FA" w:rsidR="00E720E2" w:rsidRDefault="00A17844" w:rsidP="00A17844">
      <w:r>
        <w:t>Tilastot kertovat yhä selvemmästä kentän jakautumisesta vakiintuneisiin</w:t>
      </w:r>
      <w:r w:rsidR="00882B7D">
        <w:t xml:space="preserve"> ryhmiin</w:t>
      </w:r>
      <w:r>
        <w:t xml:space="preserve">, </w:t>
      </w:r>
      <w:r w:rsidR="00882B7D">
        <w:t xml:space="preserve">jotka saavat </w:t>
      </w:r>
      <w:r>
        <w:t>VOS-avustusta tai valtion toiminta-avustusta</w:t>
      </w:r>
      <w:r w:rsidR="00882B7D">
        <w:t xml:space="preserve">, </w:t>
      </w:r>
      <w:r>
        <w:t>ja muihin, jotka toimivat vapa</w:t>
      </w:r>
      <w:r w:rsidR="00B42752">
        <w:t>i</w:t>
      </w:r>
      <w:r>
        <w:t>na ryhm</w:t>
      </w:r>
      <w:r w:rsidR="00B42752">
        <w:t>i</w:t>
      </w:r>
      <w:r>
        <w:t>nä tai produktiokohtais</w:t>
      </w:r>
      <w:r w:rsidR="00B42752">
        <w:t>i</w:t>
      </w:r>
      <w:r>
        <w:t>na kokoonpano</w:t>
      </w:r>
      <w:r w:rsidR="00B42752">
        <w:t>i</w:t>
      </w:r>
      <w:r>
        <w:t>na, ilman pitkäaikaista rahoitusta</w:t>
      </w:r>
      <w:r w:rsidR="000B50E0">
        <w:t xml:space="preserve">. Jälkimmäisiä </w:t>
      </w:r>
      <w:r w:rsidR="00E720E2">
        <w:t xml:space="preserve">toimijoita tilastoissa on </w:t>
      </w:r>
      <w:r w:rsidR="000B50E0">
        <w:t>noin</w:t>
      </w:r>
      <w:r w:rsidR="00E720E2">
        <w:t xml:space="preserve"> </w:t>
      </w:r>
      <w:r w:rsidR="008B45A4">
        <w:t>9</w:t>
      </w:r>
      <w:r w:rsidR="00E720E2">
        <w:t>0</w:t>
      </w:r>
      <w:r>
        <w:t xml:space="preserve">. </w:t>
      </w:r>
      <w:r w:rsidR="000B50E0">
        <w:t>Näiden</w:t>
      </w:r>
      <w:r w:rsidR="00E720E2">
        <w:t xml:space="preserve"> ryhmäkohtaiset esitysmäärät ovat huomattava</w:t>
      </w:r>
      <w:r w:rsidR="000B50E0">
        <w:t>n alhaisia</w:t>
      </w:r>
      <w:r w:rsidR="00E720E2">
        <w:t xml:space="preserve">: </w:t>
      </w:r>
      <w:r w:rsidR="00552381">
        <w:t>v</w:t>
      </w:r>
      <w:r w:rsidR="000B50E0">
        <w:t>ain erittäin harva, noin joka kuudes yltää edes 10 esityskertaan vuodessa.</w:t>
      </w:r>
    </w:p>
    <w:p w14:paraId="419241B9" w14:textId="77777777" w:rsidR="00E720E2" w:rsidRDefault="00E720E2" w:rsidP="00A17844"/>
    <w:p w14:paraId="3B992721" w14:textId="02A911BE" w:rsidR="009134F5" w:rsidRDefault="000B50E0" w:rsidP="00D40576">
      <w:r>
        <w:t xml:space="preserve">Myös </w:t>
      </w:r>
      <w:r w:rsidR="00552381">
        <w:t>niiden</w:t>
      </w:r>
      <w:r w:rsidR="00A17844">
        <w:t xml:space="preserve"> kasvaneissa kantaesitysluvuissa näkyy selvästi, miten produktiokohtainen avustusjärjestelmä ei tue pitkäaikaista, kestävää kehitystä</w:t>
      </w:r>
      <w:r w:rsidR="00F43668">
        <w:t xml:space="preserve">, vaan kannustaa </w:t>
      </w:r>
      <w:r w:rsidR="00B42752">
        <w:t xml:space="preserve">aina </w:t>
      </w:r>
      <w:r w:rsidR="00F43668">
        <w:t xml:space="preserve">uusien projektien </w:t>
      </w:r>
      <w:r w:rsidR="00B42752">
        <w:t>luomiseen.</w:t>
      </w:r>
      <w:r>
        <w:t xml:space="preserve"> </w:t>
      </w:r>
      <w:r w:rsidR="009134F5">
        <w:t xml:space="preserve">Pelkästään Taike jakoi vuonna 2019 </w:t>
      </w:r>
      <w:r w:rsidR="00F43668">
        <w:t>kohdeapurahoja huomattavasti</w:t>
      </w:r>
      <w:r w:rsidR="009134F5">
        <w:t xml:space="preserve"> useammalle kuin edellisvuonna. Vaikka rahaa oli enemmän jaossa, yksittäisen myönnetyn apurahan </w:t>
      </w:r>
      <w:r w:rsidR="00552381">
        <w:t xml:space="preserve">keskimääräinen </w:t>
      </w:r>
      <w:r w:rsidR="009134F5">
        <w:t xml:space="preserve">koko ei </w:t>
      </w:r>
      <w:r w:rsidR="00D25CD6">
        <w:t xml:space="preserve">juuri </w:t>
      </w:r>
      <w:r w:rsidR="009134F5">
        <w:t>kasvanut</w:t>
      </w:r>
      <w:r w:rsidR="00F43668">
        <w:t>.</w:t>
      </w:r>
    </w:p>
    <w:p w14:paraId="209A921E" w14:textId="64E45386" w:rsidR="00F43668" w:rsidRDefault="00F43668" w:rsidP="00D40576"/>
    <w:p w14:paraId="26653896" w14:textId="5AE71E17" w:rsidR="00F43668" w:rsidRDefault="00F43668" w:rsidP="00D40576">
      <w:r>
        <w:lastRenderedPageBreak/>
        <w:t xml:space="preserve">Toinen toimintaympäristön tekijä, joka </w:t>
      </w:r>
      <w:r w:rsidR="00B42752">
        <w:t>vaikuttaa</w:t>
      </w:r>
      <w:r>
        <w:t xml:space="preserve"> uusien teosten elinkaaren</w:t>
      </w:r>
      <w:r w:rsidR="00B42752">
        <w:t xml:space="preserve"> jäämiseen lyhyeksi</w:t>
      </w:r>
      <w:r>
        <w:t>, on kotimaisen vierailu- ja kiertuetoiminnan kehittymättömyys. Esitykset jäävät helposti</w:t>
      </w:r>
      <w:r w:rsidR="002F6F38">
        <w:t xml:space="preserve"> </w:t>
      </w:r>
      <w:r w:rsidR="00B42752">
        <w:t>kertaluontoisiksi</w:t>
      </w:r>
      <w:r>
        <w:t xml:space="preserve"> ja paikallisiksi.</w:t>
      </w:r>
    </w:p>
    <w:p w14:paraId="7155C108" w14:textId="77777777" w:rsidR="009134F5" w:rsidRDefault="009134F5" w:rsidP="00D40576"/>
    <w:p w14:paraId="56030097" w14:textId="63F28C20" w:rsidR="00C8012D" w:rsidRDefault="00E95D13" w:rsidP="00D40576">
      <w:r>
        <w:t>Esitys</w:t>
      </w:r>
      <w:r w:rsidR="000B50E0">
        <w:t xml:space="preserve">toiminnan </w:t>
      </w:r>
      <w:r>
        <w:t>rinnall</w:t>
      </w:r>
      <w:r w:rsidR="00130141">
        <w:t>a</w:t>
      </w:r>
      <w:r>
        <w:t xml:space="preserve"> y</w:t>
      </w:r>
      <w:r w:rsidR="00C8012D">
        <w:t xml:space="preserve">hä useammat ryhmät </w:t>
      </w:r>
      <w:r w:rsidR="000B50E0">
        <w:t>ja yksittäiset koreografit tekevät jatkuvaa</w:t>
      </w:r>
      <w:r w:rsidR="00C8012D">
        <w:t xml:space="preserve"> yleisötyö</w:t>
      </w:r>
      <w:r w:rsidR="000B50E0">
        <w:t>tä</w:t>
      </w:r>
      <w:r w:rsidR="00C8012D">
        <w:t xml:space="preserve"> ja yhteisötanssi</w:t>
      </w:r>
      <w:r w:rsidR="000B50E0">
        <w:t>a osana taiteellista toimintaansa</w:t>
      </w:r>
      <w:r w:rsidR="00C8012D">
        <w:t>. Yleisötyön ja yhteisötanssin avulla tavoitettiin 11</w:t>
      </w:r>
      <w:r w:rsidR="000B50E0">
        <w:t>2</w:t>
      </w:r>
      <w:r w:rsidR="00C8012D">
        <w:t> 000 ihmistä vuonna 201</w:t>
      </w:r>
      <w:r w:rsidR="00130141">
        <w:t>9 – suunnilleen saman verran kuin 2018.</w:t>
      </w:r>
    </w:p>
    <w:p w14:paraId="4C3A949F" w14:textId="77777777" w:rsidR="0033422F" w:rsidRDefault="0033422F" w:rsidP="00D40576"/>
    <w:p w14:paraId="7E646396" w14:textId="5AB0994D" w:rsidR="0033422F" w:rsidRPr="00520E1C" w:rsidRDefault="00C83DED" w:rsidP="00D40576">
      <w:pPr>
        <w:rPr>
          <w:b/>
        </w:rPr>
      </w:pPr>
      <w:r>
        <w:rPr>
          <w:b/>
        </w:rPr>
        <w:t xml:space="preserve">Suomaiset </w:t>
      </w:r>
      <w:r w:rsidR="005624AA">
        <w:rPr>
          <w:b/>
        </w:rPr>
        <w:t>tanssiryhmät esiintyivät ulkomailla harvemmin kuin aikaisemmin</w:t>
      </w:r>
    </w:p>
    <w:p w14:paraId="6C4D6ACC" w14:textId="77777777" w:rsidR="0033422F" w:rsidRDefault="0033422F" w:rsidP="00D40576"/>
    <w:p w14:paraId="48C8412B" w14:textId="2D3B56FD" w:rsidR="0001703C" w:rsidRDefault="0001703C" w:rsidP="00D40576">
      <w:r>
        <w:t xml:space="preserve">Ulkomaanvierailuja suomalaiset tanssiryhmät tekivät huomattavasti vähemmän kuin viimeisen yli kymmenen vuoden aikana. Esityskertoja ulkomailla oli 97 (2018: 143) ja katsojia 28 000 (2018: 30 000). Esityksiä </w:t>
      </w:r>
      <w:r w:rsidR="0033422F">
        <w:t>nähtiin 2</w:t>
      </w:r>
      <w:r w:rsidR="00130141">
        <w:t>2</w:t>
      </w:r>
      <w:r w:rsidR="0033422F">
        <w:t xml:space="preserve"> maassa</w:t>
      </w:r>
      <w:r w:rsidR="00350EF6">
        <w:t xml:space="preserve">. </w:t>
      </w:r>
      <w:r w:rsidR="00CE2725">
        <w:t>Ulkomaanvierailujen määrä on kääntynyt laskuun vuodesta 2011 alkaen, jolloin esityskertoja kotimaan ulkopuolella oli vielä 240.</w:t>
      </w:r>
    </w:p>
    <w:p w14:paraId="4BD0D926" w14:textId="10A0B8A2" w:rsidR="0001703C" w:rsidRDefault="0001703C" w:rsidP="00D40576"/>
    <w:p w14:paraId="23E79149" w14:textId="1D3A9E65" w:rsidR="00CE2725" w:rsidRDefault="0001703C" w:rsidP="00D40576">
      <w:r>
        <w:t>Jo muutaman vuoden ajan on ollut</w:t>
      </w:r>
      <w:r w:rsidR="00CE2725">
        <w:t xml:space="preserve"> myös</w:t>
      </w:r>
      <w:r>
        <w:t xml:space="preserve"> havaittavissa, että kansainvälinen kiertäminen on osa vain muutamien tanssiryhmien vakiintunutta toimintaa</w:t>
      </w:r>
      <w:r w:rsidR="00CE2725">
        <w:t xml:space="preserve">. Lisäksi on vapaita ryhmiä, joka tekevät yksittäisiä vierailukeikkoja silloin tällöin. Vuonna 2019 </w:t>
      </w:r>
      <w:r w:rsidR="005624AA">
        <w:t>ulkomaanvierailuja tehneiden joukossa</w:t>
      </w:r>
      <w:r w:rsidR="00CE2725">
        <w:t xml:space="preserve"> </w:t>
      </w:r>
      <w:r w:rsidR="005624AA">
        <w:t xml:space="preserve">oli </w:t>
      </w:r>
      <w:r w:rsidR="00CE2725">
        <w:t>neljä tanssiryhmää, joiden esityksistä suuri osa ja katsojista valtaosa (70 % tai yli) oli Suomen ulkopuolella</w:t>
      </w:r>
      <w:r w:rsidR="005624AA">
        <w:t>.</w:t>
      </w:r>
    </w:p>
    <w:p w14:paraId="0354F30A" w14:textId="77777777" w:rsidR="001F1616" w:rsidRDefault="001F1616" w:rsidP="00D40576"/>
    <w:p w14:paraId="443B0CC7" w14:textId="5DC8DC5F" w:rsidR="00CE2725" w:rsidRDefault="00CE2725" w:rsidP="00D40576">
      <w:r>
        <w:t>Vierailut suuntautu</w:t>
      </w:r>
      <w:r w:rsidR="00882B7D">
        <w:t>i</w:t>
      </w:r>
      <w:r>
        <w:t>vat lähes kaikkialle maailmaan</w:t>
      </w:r>
      <w:r w:rsidR="00C349A1">
        <w:t xml:space="preserve">, enimmäkseen Eurooppaan. </w:t>
      </w:r>
      <w:r>
        <w:t xml:space="preserve">Vuonna 2019 vierailuja oli </w:t>
      </w:r>
      <w:r w:rsidR="00C349A1">
        <w:t xml:space="preserve">esimerkiksi </w:t>
      </w:r>
      <w:r>
        <w:t>Venäjällä</w:t>
      </w:r>
      <w:r w:rsidR="00C349A1">
        <w:t xml:space="preserve"> ja Etelä-Koreassa, </w:t>
      </w:r>
      <w:r>
        <w:t>joiden kanssa yhteistyö</w:t>
      </w:r>
      <w:r w:rsidR="00C349A1">
        <w:t xml:space="preserve"> </w:t>
      </w:r>
      <w:r>
        <w:t xml:space="preserve">Tanssin tiedotuskeskuksen projektien kautta on ollut </w:t>
      </w:r>
      <w:r w:rsidR="00C349A1">
        <w:t>aktiivista jo usean vuoden ajan.</w:t>
      </w:r>
    </w:p>
    <w:p w14:paraId="2C1C1EE7" w14:textId="77777777" w:rsidR="0033422F" w:rsidRDefault="0033422F" w:rsidP="00D40576"/>
    <w:p w14:paraId="4DDA3B97" w14:textId="45F30AB2" w:rsidR="0033422F" w:rsidRPr="00520E1C" w:rsidRDefault="00C349A1" w:rsidP="00D40576">
      <w:pPr>
        <w:rPr>
          <w:b/>
        </w:rPr>
      </w:pPr>
      <w:r>
        <w:rPr>
          <w:b/>
        </w:rPr>
        <w:t>Toiminta-avustusta saavien ryhmien talous kohentumassa</w:t>
      </w:r>
    </w:p>
    <w:p w14:paraId="482CE81F" w14:textId="77777777" w:rsidR="00FD53A6" w:rsidRDefault="00FD53A6" w:rsidP="00D40576"/>
    <w:p w14:paraId="298B4564" w14:textId="7E361135" w:rsidR="004F3E07" w:rsidRDefault="00C349A1" w:rsidP="00D40576">
      <w:r>
        <w:t>V</w:t>
      </w:r>
      <w:r w:rsidR="004F3E07">
        <w:t>uonna 2019 v</w:t>
      </w:r>
      <w:r>
        <w:t xml:space="preserve">apaiden </w:t>
      </w:r>
      <w:r w:rsidR="004F3E07">
        <w:t xml:space="preserve">tanssiryhmien toiminta-avustuksia nostettiin 24 % osana koko esittävän taiteen valtionrahoitusuudistusta. Lisäksi ryhmien </w:t>
      </w:r>
      <w:r>
        <w:t>kunnanavustukset nousivat selvästi jo toista vuotta peräkkäi</w:t>
      </w:r>
      <w:r w:rsidR="004F3E07">
        <w:t>n – valtaosa kasvusta on Helsingin kaupungin avustusten korotuksia, mutta nousua oli myös muutamilla muilla paikkakunnilla (Turku, Jyväskylä).</w:t>
      </w:r>
    </w:p>
    <w:p w14:paraId="7B3F1E27" w14:textId="3F74C0C5" w:rsidR="004F3E07" w:rsidRDefault="004F3E07" w:rsidP="00D40576"/>
    <w:p w14:paraId="0D4B8BA9" w14:textId="0D76A7F9" w:rsidR="00CC02F4" w:rsidRDefault="004F3E07" w:rsidP="00D40576">
      <w:r>
        <w:t>Kokonaisuudessaan vapaiden ryhmien pääsylipputulojen ja esityspalkkioiden määrä laski edellisvuodesta</w:t>
      </w:r>
      <w:r w:rsidR="00882B7D">
        <w:t xml:space="preserve"> – loogista, koska esityskertojen määrä laski myös</w:t>
      </w:r>
      <w:r>
        <w:t xml:space="preserve">. Lasku näyttäisi kuuluvan </w:t>
      </w:r>
      <w:r w:rsidR="00CC02F4">
        <w:t>normaalin</w:t>
      </w:r>
      <w:r>
        <w:t xml:space="preserve"> vaihtelun piiriin: </w:t>
      </w:r>
      <w:r w:rsidR="008B45A4">
        <w:t>t</w:t>
      </w:r>
      <w:r w:rsidR="00882B7D">
        <w:t>ällaisten pienehköjen</w:t>
      </w:r>
      <w:r w:rsidR="00CC02F4">
        <w:t xml:space="preserve"> ryhmien esitystoiminta ja uuden teoksen luomisvaihe tapahtuvat usein vuorovuosittain. </w:t>
      </w:r>
    </w:p>
    <w:p w14:paraId="09F3B51E" w14:textId="77777777" w:rsidR="00CC02F4" w:rsidRDefault="00CC02F4" w:rsidP="00D40576"/>
    <w:p w14:paraId="53140C58" w14:textId="63C2A481" w:rsidR="005E6514" w:rsidRDefault="00882B7D" w:rsidP="00D40576">
      <w:r>
        <w:t>Kannattaa myös kiinnittää huomio siihen, että m</w:t>
      </w:r>
      <w:r w:rsidR="00CC02F4">
        <w:t xml:space="preserve">erkittävä lasku vain parin toimijan luvuissa </w:t>
      </w:r>
      <w:r w:rsidR="00C174FF">
        <w:t>voi saada</w:t>
      </w:r>
      <w:r w:rsidR="00CC02F4">
        <w:t xml:space="preserve"> koko kentän yhteenlasketun tuloksen näyttämään heikentyneeltä</w:t>
      </w:r>
      <w:r>
        <w:t>. S</w:t>
      </w:r>
      <w:r w:rsidR="00CC02F4">
        <w:t xml:space="preserve">amaan aikaan </w:t>
      </w:r>
      <w:r>
        <w:t xml:space="preserve">kuitenkin </w:t>
      </w:r>
      <w:r w:rsidR="00CC02F4">
        <w:t>monilla ryhmillä esitysmäärät ja lipputulot kasvoivat merkittävällä tavalla.</w:t>
      </w:r>
    </w:p>
    <w:p w14:paraId="4D232146" w14:textId="77777777" w:rsidR="00D40576" w:rsidRDefault="00D40576" w:rsidP="00D40576"/>
    <w:p w14:paraId="57C067D3" w14:textId="55DACDF9" w:rsidR="00D40576" w:rsidRPr="00CC02F4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CC02F4">
        <w:rPr>
          <w:i/>
        </w:rPr>
        <w:t>Vuoden 201</w:t>
      </w:r>
      <w:r w:rsidR="00CC02F4" w:rsidRPr="00CC02F4">
        <w:rPr>
          <w:i/>
        </w:rPr>
        <w:t>9</w:t>
      </w:r>
      <w:r w:rsidRPr="00CC02F4">
        <w:rPr>
          <w:i/>
        </w:rPr>
        <w:t xml:space="preserve"> tanssitilastot kerättiin </w:t>
      </w:r>
      <w:r w:rsidR="00CC02F4">
        <w:rPr>
          <w:i/>
        </w:rPr>
        <w:t xml:space="preserve">yli </w:t>
      </w:r>
      <w:r w:rsidRPr="00CC02F4">
        <w:rPr>
          <w:i/>
        </w:rPr>
        <w:t>1</w:t>
      </w:r>
      <w:r w:rsidR="00BF4771" w:rsidRPr="00CC02F4">
        <w:rPr>
          <w:i/>
        </w:rPr>
        <w:t>40</w:t>
      </w:r>
      <w:r w:rsidRPr="00CC02F4">
        <w:rPr>
          <w:i/>
        </w:rPr>
        <w:t xml:space="preserve"> toimijalta. Tanssitilastot kokonaisuudessaan julkaistaan Tanssin tiedotuskeskuksen verkkosivustolla.</w:t>
      </w:r>
    </w:p>
    <w:p w14:paraId="0B5BEAFD" w14:textId="461CAB3D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</w:pPr>
    </w:p>
    <w:p w14:paraId="60529D83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b/>
          <w:lang w:val="fi-FI"/>
        </w:rPr>
      </w:pPr>
      <w:r w:rsidRPr="00585F81">
        <w:rPr>
          <w:b/>
          <w:lang w:val="fi-FI"/>
        </w:rPr>
        <w:t xml:space="preserve">Tilastointiperusteet </w:t>
      </w:r>
    </w:p>
    <w:p w14:paraId="5C718DDE" w14:textId="77777777" w:rsidR="00D40576" w:rsidRPr="00585F81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b/>
          <w:lang w:val="fi-FI"/>
        </w:rPr>
      </w:pPr>
    </w:p>
    <w:p w14:paraId="0B5C7157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585F81">
        <w:rPr>
          <w:lang w:val="fi-FI"/>
        </w:rPr>
        <w:t>Tanssin tilastoihin kootaan suomalaisten toimijoiden ammatti</w:t>
      </w:r>
      <w:r w:rsidRPr="00585F81">
        <w:rPr>
          <w:lang w:val="fi-FI"/>
        </w:rPr>
        <w:softHyphen/>
        <w:t>tanssiesitykset, niihin myydyt liput ja kokonaiskat</w:t>
      </w:r>
      <w:r w:rsidRPr="00585F81">
        <w:rPr>
          <w:lang w:val="fi-FI"/>
        </w:rPr>
        <w:softHyphen/>
        <w:t>sojamäärät sekä kantaesitykset. Muk</w:t>
      </w:r>
      <w:r>
        <w:rPr>
          <w:lang w:val="fi-FI"/>
        </w:rPr>
        <w:t xml:space="preserve">aan ei lasketa esimerkiksi </w:t>
      </w:r>
      <w:r w:rsidR="003C3CCE">
        <w:rPr>
          <w:lang w:val="fi-FI"/>
        </w:rPr>
        <w:t>televisioon</w:t>
      </w:r>
      <w:r w:rsidRPr="00585F81">
        <w:rPr>
          <w:lang w:val="fi-FI"/>
        </w:rPr>
        <w:t xml:space="preserve"> tai </w:t>
      </w:r>
      <w:r w:rsidRPr="00585F81">
        <w:rPr>
          <w:lang w:val="fi-FI"/>
        </w:rPr>
        <w:lastRenderedPageBreak/>
        <w:t>elokuva</w:t>
      </w:r>
      <w:r w:rsidR="003C3CCE">
        <w:rPr>
          <w:lang w:val="fi-FI"/>
        </w:rPr>
        <w:t>an</w:t>
      </w:r>
      <w:r w:rsidRPr="00585F81">
        <w:rPr>
          <w:lang w:val="fi-FI"/>
        </w:rPr>
        <w:t xml:space="preserve"> tehtyjä koreografi</w:t>
      </w:r>
      <w:r w:rsidRPr="00585F81">
        <w:rPr>
          <w:lang w:val="fi-FI"/>
        </w:rPr>
        <w:softHyphen/>
        <w:t xml:space="preserve">oita. </w:t>
      </w:r>
      <w:r w:rsidR="002957C8" w:rsidRPr="002957C8">
        <w:rPr>
          <w:lang w:val="fi-FI"/>
        </w:rPr>
        <w:t xml:space="preserve">Suomalaisten tanssiryhmien ja koreografien tuottamien </w:t>
      </w:r>
      <w:r w:rsidR="000D7160">
        <w:rPr>
          <w:lang w:val="fi-FI"/>
        </w:rPr>
        <w:t xml:space="preserve">ja järjestämien </w:t>
      </w:r>
      <w:r w:rsidR="002957C8" w:rsidRPr="002957C8">
        <w:rPr>
          <w:lang w:val="fi-FI"/>
        </w:rPr>
        <w:t>tanssielokuvien näytäntö- ja katsojamäärät Suomessa ja ulkomaill</w:t>
      </w:r>
      <w:r w:rsidR="000D7160">
        <w:rPr>
          <w:lang w:val="fi-FI"/>
        </w:rPr>
        <w:t>a on kerätty omaan tilastoonsa.</w:t>
      </w:r>
    </w:p>
    <w:p w14:paraId="7474DB76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</w:p>
    <w:p w14:paraId="42143B4C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585F81">
        <w:rPr>
          <w:lang w:val="fi-FI"/>
        </w:rPr>
        <w:t>Tilastotiedot kerätään suoraan tanssiryhmiltä, tuotantokeskuksilta, yksittäisiltä koreografeilta ja aluekeskuksilta. Ti</w:t>
      </w:r>
      <w:r w:rsidRPr="00585F81">
        <w:rPr>
          <w:lang w:val="fi-FI"/>
        </w:rPr>
        <w:softHyphen/>
        <w:t>lasto an</w:t>
      </w:r>
      <w:r w:rsidRPr="00585F81">
        <w:rPr>
          <w:lang w:val="fi-FI"/>
        </w:rPr>
        <w:softHyphen/>
        <w:t>taa varsin luotettavan kuv</w:t>
      </w:r>
      <w:r>
        <w:rPr>
          <w:lang w:val="fi-FI"/>
        </w:rPr>
        <w:t>an suomalaisen tanssin esitysvo</w:t>
      </w:r>
      <w:r w:rsidRPr="00585F81">
        <w:rPr>
          <w:lang w:val="fi-FI"/>
        </w:rPr>
        <w:t xml:space="preserve">lyymistä ja yleisömääristä. </w:t>
      </w:r>
    </w:p>
    <w:p w14:paraId="1D33AF26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</w:p>
    <w:p w14:paraId="62D304CB" w14:textId="12D73510" w:rsidR="00D40576" w:rsidRDefault="002F68C8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>
        <w:rPr>
          <w:lang w:val="fi-FI"/>
        </w:rPr>
        <w:t>T</w:t>
      </w:r>
      <w:r w:rsidR="00D40576" w:rsidRPr="00585F81">
        <w:rPr>
          <w:lang w:val="fi-FI"/>
        </w:rPr>
        <w:t>eatteri- ja orkesterilain piirissä olev</w:t>
      </w:r>
      <w:r>
        <w:rPr>
          <w:lang w:val="fi-FI"/>
        </w:rPr>
        <w:t>ien</w:t>
      </w:r>
      <w:r w:rsidR="00D40576" w:rsidRPr="00585F81">
        <w:rPr>
          <w:lang w:val="fi-FI"/>
        </w:rPr>
        <w:t xml:space="preserve"> (VOS) tanssiryhmi</w:t>
      </w:r>
      <w:r>
        <w:rPr>
          <w:lang w:val="fi-FI"/>
        </w:rPr>
        <w:t>en</w:t>
      </w:r>
      <w:r w:rsidR="00D40576" w:rsidRPr="00585F81">
        <w:rPr>
          <w:lang w:val="fi-FI"/>
        </w:rPr>
        <w:t xml:space="preserve"> ja -tuo</w:t>
      </w:r>
      <w:r w:rsidR="00D40576">
        <w:rPr>
          <w:lang w:val="fi-FI"/>
        </w:rPr>
        <w:t>tantokesku</w:t>
      </w:r>
      <w:r w:rsidR="00B95452">
        <w:rPr>
          <w:lang w:val="fi-FI"/>
        </w:rPr>
        <w:t xml:space="preserve">ksien tiedot </w:t>
      </w:r>
      <w:proofErr w:type="gramStart"/>
      <w:r w:rsidR="00B95452">
        <w:rPr>
          <w:lang w:val="fi-FI"/>
        </w:rPr>
        <w:t>kerää</w:t>
      </w:r>
      <w:proofErr w:type="gramEnd"/>
      <w:r w:rsidR="00B95452">
        <w:rPr>
          <w:lang w:val="fi-FI"/>
        </w:rPr>
        <w:t xml:space="preserve"> </w:t>
      </w:r>
      <w:r w:rsidR="00C2112D" w:rsidRPr="00F45EE0">
        <w:rPr>
          <w:lang w:val="fi-FI"/>
        </w:rPr>
        <w:t>Teat</w:t>
      </w:r>
      <w:r w:rsidR="00C2112D" w:rsidRPr="00F45EE0">
        <w:rPr>
          <w:lang w:val="fi-FI"/>
        </w:rPr>
        <w:softHyphen/>
        <w:t>terin tie</w:t>
      </w:r>
      <w:r w:rsidR="00C2112D" w:rsidRPr="00F45EE0">
        <w:rPr>
          <w:lang w:val="fi-FI"/>
        </w:rPr>
        <w:softHyphen/>
        <w:t xml:space="preserve">dotuskeskus </w:t>
      </w:r>
      <w:r w:rsidR="00B95452" w:rsidRPr="00F45EE0">
        <w:rPr>
          <w:lang w:val="fi-FI"/>
        </w:rPr>
        <w:t>TINFO</w:t>
      </w:r>
      <w:r w:rsidR="00D40576" w:rsidRPr="00F45EE0">
        <w:rPr>
          <w:lang w:val="fi-FI"/>
        </w:rPr>
        <w:t>. Tanssin tiedotuskeskuksen</w:t>
      </w:r>
      <w:r w:rsidR="00D40576" w:rsidRPr="00585F81">
        <w:rPr>
          <w:lang w:val="fi-FI"/>
        </w:rPr>
        <w:t xml:space="preserve"> ko</w:t>
      </w:r>
      <w:r w:rsidR="00D40576" w:rsidRPr="00585F81">
        <w:rPr>
          <w:lang w:val="fi-FI"/>
        </w:rPr>
        <w:softHyphen/>
        <w:t>koamissa tanssin tilastoissa tiedot yhdistetään siten, että suuret laitosteatterit (Suomen Kansallis</w:t>
      </w:r>
      <w:r w:rsidR="00D40576" w:rsidRPr="00585F81">
        <w:rPr>
          <w:lang w:val="fi-FI"/>
        </w:rPr>
        <w:softHyphen/>
        <w:t xml:space="preserve">baletti, Helsinki </w:t>
      </w:r>
      <w:proofErr w:type="spellStart"/>
      <w:r w:rsidR="00D40576" w:rsidRPr="00585F81">
        <w:rPr>
          <w:lang w:val="fi-FI"/>
        </w:rPr>
        <w:t>Dance</w:t>
      </w:r>
      <w:proofErr w:type="spellEnd"/>
      <w:r w:rsidR="00D40576" w:rsidRPr="00585F81">
        <w:rPr>
          <w:lang w:val="fi-FI"/>
        </w:rPr>
        <w:t xml:space="preserve"> Company), VOS-toimijat, vapaat valtion toiminta-avustusta saaneet tanssiryhmät, muut vapaat ryhmät ja yksittäiset koreo</w:t>
      </w:r>
      <w:r w:rsidR="00D40576" w:rsidRPr="00585F81">
        <w:rPr>
          <w:lang w:val="fi-FI"/>
        </w:rPr>
        <w:softHyphen/>
        <w:t>grafit käsitellään omina alaryhminään.</w:t>
      </w:r>
    </w:p>
    <w:p w14:paraId="546BBE3B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</w:p>
    <w:p w14:paraId="446DB925" w14:textId="77777777" w:rsidR="00B57B1D" w:rsidRPr="00B57B1D" w:rsidRDefault="00B57B1D" w:rsidP="00B57B1D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B57B1D">
        <w:rPr>
          <w:lang w:val="fi-FI"/>
        </w:rPr>
        <w:t>Tanssiryhmien ja koreografien yhteistuotannot sekä keskinäiset vierailut tilastoidaan molempien osapuolien kohdalle. Tästä syntyvät päällekkäiset luvut vähennetään kokonaiskatsojamääristä.  </w:t>
      </w:r>
    </w:p>
    <w:p w14:paraId="4064A6DE" w14:textId="77777777" w:rsidR="00B57B1D" w:rsidRPr="00B57B1D" w:rsidRDefault="00B57B1D" w:rsidP="00B57B1D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B57B1D">
        <w:rPr>
          <w:lang w:val="fi-FI"/>
        </w:rPr>
        <w:t>Lisäksi kokonaisluvuista vähennetään myös yhteisesityksistä syntyvät päällekkäi</w:t>
      </w:r>
      <w:r w:rsidRPr="00B57B1D">
        <w:rPr>
          <w:lang w:val="fi-FI"/>
        </w:rPr>
        <w:softHyphen/>
        <w:t>syydet. Yhteistuotantojen osuus esitys- ja katsojamäärästä eritellään omassa sarakkeessaan. Keskikatsojaluku lasketaan myytyjen ja ilmaisten lippujen yhteismäärästä.</w:t>
      </w:r>
    </w:p>
    <w:p w14:paraId="70627819" w14:textId="77777777" w:rsidR="00B57B1D" w:rsidRDefault="00B57B1D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</w:p>
    <w:p w14:paraId="0CA6550A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585F81">
        <w:rPr>
          <w:lang w:val="fi-FI"/>
        </w:rPr>
        <w:t>Tanssin alue</w:t>
      </w:r>
      <w:r w:rsidRPr="00585F81">
        <w:rPr>
          <w:lang w:val="fi-FI"/>
        </w:rPr>
        <w:softHyphen/>
        <w:t>keskusten toiminta eritellään omassa taulukossaan. Taulukko kertoo, kuinka monen kantaesityksen ja esityksen järjestämiseen aluekeskukset ovat osallistuneet, ja mikä on näi</w:t>
      </w:r>
      <w:r w:rsidRPr="00585F81">
        <w:rPr>
          <w:lang w:val="fi-FI"/>
        </w:rPr>
        <w:softHyphen/>
        <w:t xml:space="preserve">den esitysten katsojamäärä. Kokonaistilastoissa esitykset ja katsojat on tilastoitu tanssiryhmän tai koreografin kohdalle. </w:t>
      </w:r>
    </w:p>
    <w:p w14:paraId="64192125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</w:p>
    <w:p w14:paraId="33197158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585F81">
        <w:rPr>
          <w:lang w:val="fi-FI"/>
        </w:rPr>
        <w:t>Suomalaisten tanssijoiden ja tanssiryhmien vierai</w:t>
      </w:r>
      <w:r w:rsidRPr="00585F81">
        <w:rPr>
          <w:lang w:val="fi-FI"/>
        </w:rPr>
        <w:softHyphen/>
        <w:t>lut ulkomailla eritellään omaksi tilastok</w:t>
      </w:r>
      <w:r w:rsidRPr="00585F81">
        <w:rPr>
          <w:lang w:val="fi-FI"/>
        </w:rPr>
        <w:softHyphen/>
        <w:t xml:space="preserve">seen, mutta ulkomaanvierailut sisältyvät myös kokonaisesitys- ja katsojamääriin. </w:t>
      </w:r>
    </w:p>
    <w:p w14:paraId="721DFBD5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</w:p>
    <w:p w14:paraId="0353036F" w14:textId="77777777" w:rsidR="00D4057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585F81">
        <w:rPr>
          <w:lang w:val="fi-FI"/>
        </w:rPr>
        <w:t xml:space="preserve">Kantaesitysluettelo </w:t>
      </w:r>
      <w:r w:rsidR="00E95F1E">
        <w:rPr>
          <w:lang w:val="fi-FI"/>
        </w:rPr>
        <w:t>sisältää</w:t>
      </w:r>
      <w:r w:rsidRPr="00585F81">
        <w:rPr>
          <w:lang w:val="fi-FI"/>
        </w:rPr>
        <w:t xml:space="preserve"> tanssiryhmien ja koreografien ensi-illat. Suomalaisten koreografien kansainvälisille ryhmille tekemiä tilausteoksia ei lasketa kotimaisiksi kantaesityksiksi. Sen sijaan kantaesitys, joka toteutetaan yhteistuotantona suomalaisen ja kansainvälisen ryhmän välillä sisällytetään kantaesitysten kokonaislukumäärään.  </w:t>
      </w:r>
    </w:p>
    <w:p w14:paraId="22B75FEA" w14:textId="77777777" w:rsidR="00D40576" w:rsidRPr="00585F81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</w:p>
    <w:p w14:paraId="0090193E" w14:textId="33250DC1" w:rsidR="00DA71C6" w:rsidRPr="00DA71C6" w:rsidRDefault="00D40576" w:rsidP="00D40576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585F81">
        <w:rPr>
          <w:b/>
          <w:bCs/>
          <w:lang w:val="fi-FI"/>
        </w:rPr>
        <w:t>LISÄTIETOJA:</w:t>
      </w:r>
      <w:r w:rsidRPr="00585F81">
        <w:rPr>
          <w:lang w:val="fi-FI"/>
        </w:rPr>
        <w:t xml:space="preserve"> </w:t>
      </w:r>
      <w:r w:rsidRPr="00585F81">
        <w:rPr>
          <w:lang w:val="fi-FI"/>
        </w:rPr>
        <w:br/>
      </w:r>
      <w:r>
        <w:rPr>
          <w:lang w:val="fi-FI"/>
        </w:rPr>
        <w:t>Tanssin t</w:t>
      </w:r>
      <w:r w:rsidRPr="00585F81">
        <w:rPr>
          <w:lang w:val="fi-FI"/>
        </w:rPr>
        <w:t xml:space="preserve">iedotuskeskus, </w:t>
      </w:r>
      <w:hyperlink r:id="rId5" w:history="1">
        <w:r w:rsidR="00DA71C6" w:rsidRPr="00797AAF">
          <w:rPr>
            <w:rStyle w:val="Hyperlinkki"/>
            <w:lang w:val="fi-FI"/>
          </w:rPr>
          <w:t>www.danceinfo.fi</w:t>
        </w:r>
      </w:hyperlink>
    </w:p>
    <w:p w14:paraId="25975C1B" w14:textId="44556DE9" w:rsidR="00DA71C6" w:rsidRDefault="00DA71C6">
      <w:r>
        <w:t>21.6.2020</w:t>
      </w:r>
      <w:bookmarkStart w:id="0" w:name="_GoBack"/>
      <w:bookmarkEnd w:id="0"/>
    </w:p>
    <w:sectPr w:rsidR="00DA71C6" w:rsidSect="007F3D5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165D"/>
    <w:multiLevelType w:val="hybridMultilevel"/>
    <w:tmpl w:val="0518A6B6"/>
    <w:lvl w:ilvl="0" w:tplc="38440BA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76"/>
    <w:rsid w:val="0001703C"/>
    <w:rsid w:val="00022711"/>
    <w:rsid w:val="0003227A"/>
    <w:rsid w:val="00034FAD"/>
    <w:rsid w:val="00090DB4"/>
    <w:rsid w:val="000B3752"/>
    <w:rsid w:val="000B50E0"/>
    <w:rsid w:val="000C2017"/>
    <w:rsid w:val="000D7160"/>
    <w:rsid w:val="00101038"/>
    <w:rsid w:val="00110881"/>
    <w:rsid w:val="00115A22"/>
    <w:rsid w:val="00130141"/>
    <w:rsid w:val="0013657A"/>
    <w:rsid w:val="00160CBC"/>
    <w:rsid w:val="00184D25"/>
    <w:rsid w:val="001D2D37"/>
    <w:rsid w:val="001F1616"/>
    <w:rsid w:val="001F6DC0"/>
    <w:rsid w:val="00202ED1"/>
    <w:rsid w:val="002628D8"/>
    <w:rsid w:val="002957C8"/>
    <w:rsid w:val="002A7545"/>
    <w:rsid w:val="002B5CCC"/>
    <w:rsid w:val="002F68C8"/>
    <w:rsid w:val="002F6F38"/>
    <w:rsid w:val="00322119"/>
    <w:rsid w:val="0033422F"/>
    <w:rsid w:val="00350EF6"/>
    <w:rsid w:val="0035161E"/>
    <w:rsid w:val="003566B6"/>
    <w:rsid w:val="00370CDF"/>
    <w:rsid w:val="00372518"/>
    <w:rsid w:val="00377089"/>
    <w:rsid w:val="00391823"/>
    <w:rsid w:val="003C3CCE"/>
    <w:rsid w:val="003C74B2"/>
    <w:rsid w:val="00426931"/>
    <w:rsid w:val="00460298"/>
    <w:rsid w:val="00461436"/>
    <w:rsid w:val="00466EC3"/>
    <w:rsid w:val="004B1529"/>
    <w:rsid w:val="004F3E07"/>
    <w:rsid w:val="00520E1C"/>
    <w:rsid w:val="00552381"/>
    <w:rsid w:val="00553418"/>
    <w:rsid w:val="005624AA"/>
    <w:rsid w:val="00577205"/>
    <w:rsid w:val="00582262"/>
    <w:rsid w:val="005A2714"/>
    <w:rsid w:val="005E6514"/>
    <w:rsid w:val="00625C0D"/>
    <w:rsid w:val="00686C93"/>
    <w:rsid w:val="006B21C0"/>
    <w:rsid w:val="0071576D"/>
    <w:rsid w:val="007258B6"/>
    <w:rsid w:val="00780450"/>
    <w:rsid w:val="007862ED"/>
    <w:rsid w:val="00790B02"/>
    <w:rsid w:val="007A0632"/>
    <w:rsid w:val="007D0FF0"/>
    <w:rsid w:val="007D4D66"/>
    <w:rsid w:val="007E4EFA"/>
    <w:rsid w:val="007F3C9C"/>
    <w:rsid w:val="007F3D5D"/>
    <w:rsid w:val="00801142"/>
    <w:rsid w:val="00832B90"/>
    <w:rsid w:val="00882B7D"/>
    <w:rsid w:val="008B45A4"/>
    <w:rsid w:val="008E66DC"/>
    <w:rsid w:val="009134F5"/>
    <w:rsid w:val="0093367A"/>
    <w:rsid w:val="00955519"/>
    <w:rsid w:val="009A0617"/>
    <w:rsid w:val="009A21EE"/>
    <w:rsid w:val="00A17844"/>
    <w:rsid w:val="00A17E7D"/>
    <w:rsid w:val="00A37D7E"/>
    <w:rsid w:val="00A54871"/>
    <w:rsid w:val="00AA2E4F"/>
    <w:rsid w:val="00AE05E4"/>
    <w:rsid w:val="00AF15CC"/>
    <w:rsid w:val="00AF760F"/>
    <w:rsid w:val="00B25766"/>
    <w:rsid w:val="00B26889"/>
    <w:rsid w:val="00B272DE"/>
    <w:rsid w:val="00B3676E"/>
    <w:rsid w:val="00B42752"/>
    <w:rsid w:val="00B57B1D"/>
    <w:rsid w:val="00B83B67"/>
    <w:rsid w:val="00B95452"/>
    <w:rsid w:val="00B9636D"/>
    <w:rsid w:val="00BA6874"/>
    <w:rsid w:val="00BF4771"/>
    <w:rsid w:val="00C174FF"/>
    <w:rsid w:val="00C2112D"/>
    <w:rsid w:val="00C349A1"/>
    <w:rsid w:val="00C609AE"/>
    <w:rsid w:val="00C8012D"/>
    <w:rsid w:val="00C83DED"/>
    <w:rsid w:val="00CC02F4"/>
    <w:rsid w:val="00CE2725"/>
    <w:rsid w:val="00D06DBB"/>
    <w:rsid w:val="00D1482F"/>
    <w:rsid w:val="00D25CD6"/>
    <w:rsid w:val="00D40576"/>
    <w:rsid w:val="00D54908"/>
    <w:rsid w:val="00DA052F"/>
    <w:rsid w:val="00DA71C6"/>
    <w:rsid w:val="00DE6AC2"/>
    <w:rsid w:val="00DF0F85"/>
    <w:rsid w:val="00E14DEF"/>
    <w:rsid w:val="00E22BFD"/>
    <w:rsid w:val="00E65106"/>
    <w:rsid w:val="00E720E2"/>
    <w:rsid w:val="00E84CAD"/>
    <w:rsid w:val="00E95D13"/>
    <w:rsid w:val="00E95F1E"/>
    <w:rsid w:val="00EB2852"/>
    <w:rsid w:val="00EF66D0"/>
    <w:rsid w:val="00F31624"/>
    <w:rsid w:val="00F43668"/>
    <w:rsid w:val="00F45EE0"/>
    <w:rsid w:val="00F52333"/>
    <w:rsid w:val="00F547CE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029F6"/>
  <w15:chartTrackingRefBased/>
  <w15:docId w15:val="{A1D23504-77F2-654B-83A4-8AF9C874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D40576"/>
    <w:pPr>
      <w:spacing w:line="276" w:lineRule="auto"/>
    </w:pPr>
    <w:rPr>
      <w:rFonts w:ascii="Arial" w:eastAsia="Arial" w:hAnsi="Arial" w:cs="Arial"/>
      <w:sz w:val="22"/>
      <w:szCs w:val="22"/>
      <w:lang w:val="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1624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2A75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A754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A7545"/>
    <w:rPr>
      <w:rFonts w:ascii="Arial" w:eastAsia="Arial" w:hAnsi="Arial" w:cs="Arial"/>
      <w:sz w:val="20"/>
      <w:szCs w:val="20"/>
      <w:lang w:val="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A75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A7545"/>
    <w:rPr>
      <w:rFonts w:ascii="Arial" w:eastAsia="Arial" w:hAnsi="Arial" w:cs="Arial"/>
      <w:b/>
      <w:bCs/>
      <w:sz w:val="20"/>
      <w:szCs w:val="20"/>
      <w:lang w:val="fi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754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7545"/>
    <w:rPr>
      <w:rFonts w:ascii="Times New Roman" w:eastAsia="Arial" w:hAnsi="Times New Roman" w:cs="Times New Roman"/>
      <w:sz w:val="18"/>
      <w:szCs w:val="18"/>
      <w:lang w:val="fi" w:eastAsia="fi-FI"/>
    </w:rPr>
  </w:style>
  <w:style w:type="character" w:styleId="Hyperlinkki">
    <w:name w:val="Hyperlink"/>
    <w:basedOn w:val="Kappaleenoletusfontti"/>
    <w:uiPriority w:val="99"/>
    <w:unhideWhenUsed/>
    <w:rsid w:val="00DA71C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DA7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nceinf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985</Words>
  <Characters>6879</Characters>
  <Application>Microsoft Office Word</Application>
  <DocSecurity>0</DocSecurity>
  <Lines>176</Lines>
  <Paragraphs>67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Sanna Kangasluoma</cp:lastModifiedBy>
  <cp:revision>4</cp:revision>
  <cp:lastPrinted>2020-05-28T12:32:00Z</cp:lastPrinted>
  <dcterms:created xsi:type="dcterms:W3CDTF">2020-06-01T08:58:00Z</dcterms:created>
  <dcterms:modified xsi:type="dcterms:W3CDTF">2020-07-03T14:19:00Z</dcterms:modified>
</cp:coreProperties>
</file>