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43BF" w14:textId="77777777" w:rsidR="005A2714" w:rsidRPr="005A2714" w:rsidRDefault="005A2714" w:rsidP="00D568A6">
      <w:pPr>
        <w:jc w:val="both"/>
        <w:rPr>
          <w:bCs/>
          <w:lang w:val="fi-FI"/>
        </w:rPr>
      </w:pPr>
      <w:bookmarkStart w:id="0" w:name="_GoBack"/>
      <w:bookmarkEnd w:id="0"/>
      <w:r w:rsidRPr="005A2714">
        <w:rPr>
          <w:bCs/>
          <w:lang w:val="fi-FI"/>
        </w:rPr>
        <w:t>TANSSIN TIEDOTUSKESKUS – DANCE INFO FINLAND</w:t>
      </w:r>
    </w:p>
    <w:p w14:paraId="4DF4C13D" w14:textId="63264503" w:rsidR="005A2714" w:rsidRDefault="005A2714" w:rsidP="00D568A6">
      <w:pPr>
        <w:jc w:val="both"/>
        <w:rPr>
          <w:bCs/>
          <w:lang w:val="fi-FI"/>
        </w:rPr>
      </w:pPr>
      <w:r>
        <w:rPr>
          <w:bCs/>
          <w:lang w:val="fi-FI"/>
        </w:rPr>
        <w:t>Yhteenveto vuoden 20</w:t>
      </w:r>
      <w:r w:rsidR="005F62C1">
        <w:rPr>
          <w:bCs/>
          <w:lang w:val="fi-FI"/>
        </w:rPr>
        <w:t>20</w:t>
      </w:r>
      <w:r w:rsidRPr="005A2714">
        <w:rPr>
          <w:bCs/>
          <w:lang w:val="fi-FI"/>
        </w:rPr>
        <w:t xml:space="preserve"> tanssitilastoista</w:t>
      </w:r>
    </w:p>
    <w:p w14:paraId="5573F6B5" w14:textId="77777777" w:rsidR="00D568A6" w:rsidRDefault="00D568A6" w:rsidP="00D568A6">
      <w:pPr>
        <w:spacing w:line="240" w:lineRule="auto"/>
        <w:jc w:val="both"/>
        <w:rPr>
          <w:rFonts w:eastAsia="Times New Roman"/>
          <w:b/>
          <w:color w:val="222222"/>
          <w:sz w:val="28"/>
          <w:szCs w:val="28"/>
          <w:shd w:val="clear" w:color="auto" w:fill="FFFFFF"/>
          <w:lang w:val="fi-FI"/>
        </w:rPr>
        <w:sectPr w:rsidR="00D568A6" w:rsidSect="00E93BFB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494D522F" w14:textId="080C2855" w:rsidR="007D4D66" w:rsidRDefault="007D4D66" w:rsidP="00D568A6">
      <w:pPr>
        <w:spacing w:line="240" w:lineRule="auto"/>
        <w:jc w:val="both"/>
        <w:rPr>
          <w:rFonts w:eastAsia="Times New Roman"/>
          <w:b/>
          <w:color w:val="222222"/>
          <w:sz w:val="28"/>
          <w:szCs w:val="28"/>
          <w:shd w:val="clear" w:color="auto" w:fill="FFFFFF"/>
          <w:lang w:val="fi-FI"/>
        </w:rPr>
      </w:pPr>
    </w:p>
    <w:p w14:paraId="09924FC4" w14:textId="6B08DB97" w:rsidR="00577205" w:rsidRPr="00577205" w:rsidRDefault="005E50A0" w:rsidP="00D568A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i-FI"/>
        </w:rPr>
      </w:pPr>
      <w:r>
        <w:rPr>
          <w:rFonts w:eastAsia="Times New Roman"/>
          <w:b/>
          <w:color w:val="222222"/>
          <w:sz w:val="28"/>
          <w:szCs w:val="28"/>
          <w:shd w:val="clear" w:color="auto" w:fill="FFFFFF"/>
          <w:lang w:val="fi-FI"/>
        </w:rPr>
        <w:t>”Kaikki meni”</w:t>
      </w:r>
    </w:p>
    <w:p w14:paraId="447CABD0" w14:textId="77777777" w:rsidR="00E93BFB" w:rsidRDefault="00E93BFB" w:rsidP="00D568A6">
      <w:pPr>
        <w:jc w:val="both"/>
        <w:rPr>
          <w:b/>
          <w:sz w:val="28"/>
          <w:szCs w:val="28"/>
        </w:rPr>
        <w:sectPr w:rsidR="00E93BFB" w:rsidSect="00E93BFB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84E59F9" w14:textId="77777777" w:rsidR="00243AFC" w:rsidRDefault="00243AFC" w:rsidP="00D568A6">
      <w:pPr>
        <w:jc w:val="both"/>
        <w:rPr>
          <w:b/>
          <w:sz w:val="28"/>
          <w:szCs w:val="28"/>
        </w:rPr>
      </w:pPr>
    </w:p>
    <w:p w14:paraId="1E299D26" w14:textId="77777777" w:rsidR="00243AFC" w:rsidRDefault="00243AFC" w:rsidP="00D568A6">
      <w:pPr>
        <w:jc w:val="both"/>
        <w:rPr>
          <w:color w:val="000000" w:themeColor="text1"/>
        </w:rPr>
        <w:sectPr w:rsidR="00243AFC" w:rsidSect="00D568A6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14:paraId="1A630DE5" w14:textId="3533C56C" w:rsidR="00BD5919" w:rsidRDefault="00521105" w:rsidP="00D568A6">
      <w:pPr>
        <w:jc w:val="both"/>
        <w:rPr>
          <w:color w:val="000000" w:themeColor="text1"/>
        </w:rPr>
      </w:pPr>
      <w:r>
        <w:rPr>
          <w:color w:val="000000" w:themeColor="text1"/>
        </w:rPr>
        <w:t>Koronaviruspandemian</w:t>
      </w:r>
      <w:r w:rsidR="00243AFC">
        <w:rPr>
          <w:color w:val="000000" w:themeColor="text1"/>
        </w:rPr>
        <w:t xml:space="preserve"> seuraukset, kuten asetetut </w:t>
      </w:r>
      <w:r w:rsidR="00622AAA">
        <w:rPr>
          <w:color w:val="000000" w:themeColor="text1"/>
        </w:rPr>
        <w:t>kokoontumisrajoitukset</w:t>
      </w:r>
      <w:r w:rsidR="00243AFC">
        <w:rPr>
          <w:color w:val="000000" w:themeColor="text1"/>
        </w:rPr>
        <w:t>,</w:t>
      </w:r>
      <w:r w:rsidR="00622AAA">
        <w:rPr>
          <w:color w:val="000000" w:themeColor="text1"/>
        </w:rPr>
        <w:t xml:space="preserve"> näkyvät vuoden 2020 tilastoluvuissa.</w:t>
      </w:r>
      <w:r w:rsidR="00BD5919">
        <w:rPr>
          <w:color w:val="000000" w:themeColor="text1"/>
        </w:rPr>
        <w:t xml:space="preserve"> </w:t>
      </w:r>
    </w:p>
    <w:p w14:paraId="0413D98F" w14:textId="77777777" w:rsidR="00BD5919" w:rsidRDefault="00BD5919" w:rsidP="00D568A6">
      <w:pPr>
        <w:jc w:val="both"/>
      </w:pPr>
    </w:p>
    <w:p w14:paraId="07C8AD3A" w14:textId="0F351891" w:rsidR="00C97DC3" w:rsidRDefault="00BD5919" w:rsidP="00D568A6">
      <w:pPr>
        <w:jc w:val="both"/>
      </w:pPr>
      <w:r>
        <w:t>Suomalaisilla tanssiryhmillä ja tuotantokeskuksilla oli vuonna 2020 yhteensä 1468 esitystä, eli vain noin puolet edellisvuosien esitysmääristä (2019:</w:t>
      </w:r>
      <w:r w:rsidRPr="007D0FF0">
        <w:t xml:space="preserve"> </w:t>
      </w:r>
      <w:r>
        <w:t>2 829 ja 2018: 2 859). Katsojia nämä esitykset keräsivät yhteensä 119 810, mikä merkitsee 70 prosentin laskua edellisvuoteen verrattuna</w:t>
      </w:r>
      <w:r w:rsidR="00054F0E">
        <w:t xml:space="preserve"> (2019</w:t>
      </w:r>
      <w:r>
        <w:t xml:space="preserve">. </w:t>
      </w:r>
      <w:r w:rsidR="00263E36">
        <w:t xml:space="preserve">Esityksistä </w:t>
      </w:r>
      <w:r w:rsidR="00243AFC">
        <w:t>1441</w:t>
      </w:r>
      <w:r w:rsidR="00263E36">
        <w:t xml:space="preserve"> ja katsojista </w:t>
      </w:r>
      <w:r w:rsidR="00243AFC">
        <w:t>118 580</w:t>
      </w:r>
      <w:r w:rsidR="00263E36">
        <w:t xml:space="preserve"> olivat kotimaassa</w:t>
      </w:r>
      <w:r w:rsidR="00243AFC">
        <w:t xml:space="preserve"> (2019: 379 000)</w:t>
      </w:r>
      <w:r w:rsidR="00263E36">
        <w:t xml:space="preserve">. </w:t>
      </w:r>
    </w:p>
    <w:p w14:paraId="741457BC" w14:textId="4B76BE6F" w:rsidR="00283E04" w:rsidRDefault="00283E04" w:rsidP="00D568A6">
      <w:pPr>
        <w:jc w:val="both"/>
      </w:pPr>
    </w:p>
    <w:p w14:paraId="458F2C01" w14:textId="563DEE49" w:rsidR="00263E36" w:rsidRDefault="00283E04" w:rsidP="00D568A6">
      <w:pPr>
        <w:jc w:val="both"/>
      </w:pPr>
      <w:r w:rsidRPr="001E3A58">
        <w:t>Yleisötyön ja yhteisötanssin avulla tavoitettiin 22 878 henkeä vuonna, mikä on noin 55% edellisvuotta vähemmän.</w:t>
      </w:r>
      <w:r w:rsidR="001E3A58">
        <w:t xml:space="preserve"> </w:t>
      </w:r>
      <w:r w:rsidR="00263E36">
        <w:t>T</w:t>
      </w:r>
      <w:r w:rsidR="00263E36" w:rsidRPr="00F86C3F">
        <w:t>anssielokuv</w:t>
      </w:r>
      <w:r w:rsidR="00263E36">
        <w:t>ien näytännöt</w:t>
      </w:r>
      <w:r w:rsidR="00263E36" w:rsidRPr="00F86C3F">
        <w:t xml:space="preserve"> tavoittivat 8 135 katsojaa, eli 10 000 katsojaa vähemmän kuin edellisvuonna. </w:t>
      </w:r>
    </w:p>
    <w:p w14:paraId="20EB3B57" w14:textId="7B5043C1" w:rsidR="00243AFC" w:rsidRDefault="00243AFC" w:rsidP="00D568A6">
      <w:pPr>
        <w:jc w:val="both"/>
      </w:pPr>
    </w:p>
    <w:p w14:paraId="51444A6F" w14:textId="72377CBC" w:rsidR="00243AFC" w:rsidRDefault="00243AFC" w:rsidP="00D568A6">
      <w:pPr>
        <w:jc w:val="both"/>
      </w:pPr>
      <w:r w:rsidRPr="00824CEF">
        <w:t>Ulkomaanvierailujen määrä on kääntynyt laskuun vuodesta 2011 alkaen, jolloin esityskertoja kotimaan ulkopuolella oli vielä 240. Vuonna 2020 rajojen su</w:t>
      </w:r>
      <w:r>
        <w:t>lkeutuminen koronapandemian myötä tyrehdytti kansainvälisen kiertuetoiminnan lähes täysin.</w:t>
      </w:r>
      <w:r w:rsidRPr="00824CEF">
        <w:t xml:space="preserve"> Esityskertoja ulkomailla oli 27 (2019: 97) ja katsojia 1230 (2019: 28 000). Esityksiä nähtiin kuudessa maassa</w:t>
      </w:r>
      <w:r>
        <w:t>, erityisesti naapurimaissa Ruotsissa ja Virossa</w:t>
      </w:r>
      <w:r w:rsidRPr="00824CEF">
        <w:t xml:space="preserve">. </w:t>
      </w:r>
      <w:r>
        <w:t xml:space="preserve">Nämä katsojaluvut sisältyvät kokonaislukuihin. </w:t>
      </w:r>
    </w:p>
    <w:p w14:paraId="55B93F64" w14:textId="3EC1CC59" w:rsidR="00243AFC" w:rsidRDefault="00243AFC" w:rsidP="00D568A6">
      <w:pPr>
        <w:jc w:val="both"/>
      </w:pPr>
    </w:p>
    <w:p w14:paraId="2BC95730" w14:textId="5F5F17A8" w:rsidR="00243AFC" w:rsidRPr="001E3A58" w:rsidRDefault="00243AFC" w:rsidP="00D568A6">
      <w:pPr>
        <w:jc w:val="both"/>
      </w:pPr>
      <w:r>
        <w:t>Kokoontumisrajoituksista johtuen esitysten tavoittamat yleisöt olivat keskimäärin pienempiä kuin aiempina vuosina. Vuonna 2020 keskimääräinen katsojaluku oli 82, kun 2019 luku oli 144.</w:t>
      </w:r>
    </w:p>
    <w:p w14:paraId="617A0EB9" w14:textId="2293C2E6" w:rsidR="00E93BFB" w:rsidRDefault="00E93BFB" w:rsidP="00D568A6">
      <w:pPr>
        <w:jc w:val="both"/>
      </w:pPr>
    </w:p>
    <w:p w14:paraId="19A8B66B" w14:textId="2B28B580" w:rsidR="00E93BFB" w:rsidRDefault="00384EE3" w:rsidP="00D568A6">
      <w:pPr>
        <w:jc w:val="both"/>
      </w:pPr>
      <w:r w:rsidRPr="00243AFC">
        <w:t xml:space="preserve">Toiminnan rajoitukset näkyvät myös tilastoitavien tanssikentän toimijoiden määrässä. </w:t>
      </w:r>
      <w:r w:rsidR="00E93BFB" w:rsidRPr="00243AFC">
        <w:t xml:space="preserve">Moni aiemmin mukana ollut toimija ei </w:t>
      </w:r>
      <w:r w:rsidR="00243AFC">
        <w:t>poikkeustilanteesta johtuen</w:t>
      </w:r>
      <w:r w:rsidR="00E93BFB" w:rsidRPr="00243AFC">
        <w:t xml:space="preserve"> voinut järjestää lainkaan esitystoimintaa</w:t>
      </w:r>
      <w:r w:rsidRPr="00243AFC">
        <w:t>, eikä siksi näy tilastossa</w:t>
      </w:r>
      <w:r w:rsidR="00E93BFB" w:rsidRPr="00243AFC">
        <w:t>.</w:t>
      </w:r>
      <w:r w:rsidR="00243AFC" w:rsidRPr="00243AFC">
        <w:t xml:space="preserve"> </w:t>
      </w:r>
      <w:r w:rsidR="00243AFC">
        <w:t>VOS-toimijoista poiketen vapaan kentän peruutetuista esityksistä ei ole kerätty tilastotietoa. Tämä on perusteltavissa vapaan kentän lyhytjänteisemmällä ohjelmistosuunnittelulla.</w:t>
      </w:r>
    </w:p>
    <w:p w14:paraId="5E608421" w14:textId="77777777" w:rsidR="000B7C09" w:rsidRDefault="000B7C09" w:rsidP="00D568A6">
      <w:pPr>
        <w:jc w:val="both"/>
      </w:pPr>
    </w:p>
    <w:p w14:paraId="06479952" w14:textId="31378965" w:rsidR="00B933EB" w:rsidRDefault="00AE53E7" w:rsidP="00D568A6">
      <w:pPr>
        <w:jc w:val="both"/>
        <w:rPr>
          <w:b/>
        </w:rPr>
      </w:pPr>
      <w:r>
        <w:rPr>
          <w:b/>
        </w:rPr>
        <w:t>Tilastoissa ensimmäistä kertaa myös verkossa esitetyt teokset</w:t>
      </w:r>
    </w:p>
    <w:p w14:paraId="03D19770" w14:textId="77777777" w:rsidR="00B933EB" w:rsidRDefault="00B933EB" w:rsidP="00D568A6">
      <w:pPr>
        <w:jc w:val="both"/>
        <w:rPr>
          <w:b/>
        </w:rPr>
      </w:pPr>
    </w:p>
    <w:p w14:paraId="0264E743" w14:textId="182742A0" w:rsidR="00283E04" w:rsidRDefault="00B933EB" w:rsidP="00D568A6">
      <w:pPr>
        <w:jc w:val="both"/>
      </w:pPr>
      <w:r>
        <w:t xml:space="preserve">Kokoontumisrajoitukset estivät </w:t>
      </w:r>
      <w:r w:rsidR="002830A8">
        <w:t>esitystoiminnan järjestämisen elävälle yleisölle, joten tanssitaiteilijat tuottivat aiempaa enemmän esityksiä myös digitaalisissa muodoissa. Tanssin tiedotuskeskus tilastoi e</w:t>
      </w:r>
      <w:r>
        <w:t>nsimmäistä kertaa verkkoyhteyksillä toteutetut esitykset ja yleisötyö</w:t>
      </w:r>
      <w:r w:rsidR="002830A8">
        <w:t>n</w:t>
      </w:r>
      <w:r>
        <w:t>.</w:t>
      </w:r>
      <w:r w:rsidR="00384EE3">
        <w:t xml:space="preserve"> Tilastossa on mukana </w:t>
      </w:r>
      <w:proofErr w:type="spellStart"/>
      <w:r w:rsidR="00384EE3">
        <w:t>striimejä</w:t>
      </w:r>
      <w:proofErr w:type="spellEnd"/>
      <w:r w:rsidR="00384EE3">
        <w:t xml:space="preserve">, esitystallenteita, tanssielokuvia ja muita verkkoalustoille </w:t>
      </w:r>
      <w:r w:rsidR="00243AFC">
        <w:t xml:space="preserve"> </w:t>
      </w:r>
      <w:r w:rsidR="00384EE3">
        <w:t>suunniteltuja esityksiä, sekä etäyhteyksillä</w:t>
      </w:r>
      <w:r w:rsidR="00283E04">
        <w:t xml:space="preserve"> järjestettyä yleisötyötapahtumia. </w:t>
      </w:r>
    </w:p>
    <w:p w14:paraId="3C1322B9" w14:textId="77777777" w:rsidR="00B933EB" w:rsidRDefault="00B933EB" w:rsidP="00D568A6">
      <w:pPr>
        <w:jc w:val="both"/>
      </w:pPr>
    </w:p>
    <w:p w14:paraId="10C67480" w14:textId="0C43FCE5" w:rsidR="00283E04" w:rsidRDefault="00B933EB" w:rsidP="00D568A6">
      <w:pPr>
        <w:jc w:val="both"/>
      </w:pPr>
      <w:proofErr w:type="spellStart"/>
      <w:r>
        <w:t>Striimien</w:t>
      </w:r>
      <w:proofErr w:type="spellEnd"/>
      <w:r>
        <w:t xml:space="preserve"> ym</w:t>
      </w:r>
      <w:r w:rsidR="00402F3A">
        <w:t>.</w:t>
      </w:r>
      <w:r>
        <w:t xml:space="preserve"> osuus kaikista esityksistä on kuitenkin edelleen hyvin pieni. </w:t>
      </w:r>
      <w:r w:rsidR="00E451FB">
        <w:t>Verkossa näytet</w:t>
      </w:r>
      <w:r w:rsidR="00283E04">
        <w:t xml:space="preserve">tyjä esityksiä tilastoitiin alle sata ja nämä </w:t>
      </w:r>
      <w:r w:rsidR="00E451FB">
        <w:t xml:space="preserve">esitykset tavoittivat yhteensä reilut 28 000 katsomiskertaa. </w:t>
      </w:r>
    </w:p>
    <w:p w14:paraId="11C8635C" w14:textId="77777777" w:rsidR="00283E04" w:rsidRDefault="00283E04" w:rsidP="00283E04">
      <w:pPr>
        <w:jc w:val="both"/>
        <w:rPr>
          <w:color w:val="4472C4" w:themeColor="accent1"/>
        </w:rPr>
      </w:pPr>
    </w:p>
    <w:p w14:paraId="6B042C1D" w14:textId="1FCA3521" w:rsidR="00283E04" w:rsidRPr="00263E36" w:rsidRDefault="00283E04" w:rsidP="00D568A6">
      <w:pPr>
        <w:jc w:val="both"/>
      </w:pPr>
      <w:r w:rsidRPr="00263E36">
        <w:t xml:space="preserve">Verkossa järjestetty yleisötyö tavoitti lähes 5000 osallistujaa. </w:t>
      </w:r>
    </w:p>
    <w:p w14:paraId="6F298C5B" w14:textId="77777777" w:rsidR="00283E04" w:rsidRDefault="00283E04" w:rsidP="00D568A6">
      <w:pPr>
        <w:jc w:val="both"/>
      </w:pPr>
    </w:p>
    <w:p w14:paraId="208C967B" w14:textId="06405B9E" w:rsidR="00283E04" w:rsidRDefault="00283E04" w:rsidP="00D568A6">
      <w:pPr>
        <w:jc w:val="both"/>
      </w:pPr>
      <w:r>
        <w:t xml:space="preserve">Tanssin kokonaislukuihin verrattaessa verkossa toteutetun toiminnan osuus on edelleen pieni. </w:t>
      </w:r>
      <w:r w:rsidR="00263E36">
        <w:t>Tanssielokuvat tavoittivat verkossa kuitenkin suuremman yleisön live-näytäntöihin verrattuna: verkon välityksellä tanssielokuvat tavoittivat lähes 50 000 katsojaa.</w:t>
      </w:r>
    </w:p>
    <w:p w14:paraId="242020AD" w14:textId="77777777" w:rsidR="00B933EB" w:rsidRDefault="00B933EB" w:rsidP="00D568A6">
      <w:pPr>
        <w:jc w:val="both"/>
      </w:pPr>
    </w:p>
    <w:p w14:paraId="7F925680" w14:textId="26CE58E6" w:rsidR="00B933EB" w:rsidRPr="00243AFC" w:rsidRDefault="00243AFC" w:rsidP="00243A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472C4" w:themeColor="accent1"/>
          <w:lang w:val="fi-FI"/>
        </w:rPr>
      </w:pPr>
      <w:r w:rsidRPr="00243AFC">
        <w:rPr>
          <w:lang w:val="fi-FI"/>
        </w:rPr>
        <w:t xml:space="preserve">Verkossa toteutettujen esitysten katsomiskertamäärät perustuvat digitaalisten alustojen tarjoamaan statistiikkaan. </w:t>
      </w:r>
      <w:r w:rsidR="00384EE3">
        <w:t xml:space="preserve">Verkossa toteutetun toiminnan tilastointia jatketaan ja kehitetään tulevaisuudessa. </w:t>
      </w:r>
    </w:p>
    <w:p w14:paraId="2D35E7D9" w14:textId="77777777" w:rsidR="00D568A6" w:rsidRDefault="00D568A6" w:rsidP="00D568A6">
      <w:pPr>
        <w:jc w:val="both"/>
        <w:rPr>
          <w:b/>
        </w:rPr>
      </w:pPr>
    </w:p>
    <w:p w14:paraId="74321FE8" w14:textId="2117E842" w:rsidR="00553418" w:rsidRPr="0091166C" w:rsidRDefault="0091166C" w:rsidP="00D568A6">
      <w:pPr>
        <w:jc w:val="both"/>
        <w:rPr>
          <w:b/>
        </w:rPr>
      </w:pPr>
      <w:r>
        <w:rPr>
          <w:b/>
        </w:rPr>
        <w:t>Itsenäisten koreografien ja ilman toiminta-avustusta toimivien ryhmien toiminta supistui</w:t>
      </w:r>
    </w:p>
    <w:p w14:paraId="4EFCE263" w14:textId="77777777" w:rsidR="0058449E" w:rsidRDefault="0058449E" w:rsidP="00D568A6">
      <w:pPr>
        <w:jc w:val="both"/>
      </w:pPr>
    </w:p>
    <w:p w14:paraId="0BA95BB2" w14:textId="231CF594" w:rsidR="00A17844" w:rsidRPr="00280BC3" w:rsidRDefault="00ED113E" w:rsidP="00D568A6">
      <w:pPr>
        <w:jc w:val="both"/>
        <w:rPr>
          <w:color w:val="FF0000"/>
        </w:rPr>
      </w:pPr>
      <w:r>
        <w:t xml:space="preserve">Uusien kantaesitysten määrä laski edellisvuoteen verrattuna erityisesti </w:t>
      </w:r>
      <w:r w:rsidR="00054F0E">
        <w:t xml:space="preserve">ilman toiminta-avustusta toimivien, ryhmien </w:t>
      </w:r>
      <w:r>
        <w:t>kohdalla.</w:t>
      </w:r>
      <w:r w:rsidR="00022711" w:rsidRPr="00280BC3">
        <w:rPr>
          <w:color w:val="FF0000"/>
        </w:rPr>
        <w:t xml:space="preserve"> </w:t>
      </w:r>
      <w:r w:rsidR="0058449E" w:rsidRPr="0058449E">
        <w:t xml:space="preserve">Vuonna 2020 kantaesityksiä oli </w:t>
      </w:r>
      <w:r w:rsidR="0058449E">
        <w:t xml:space="preserve">kaikkiaan </w:t>
      </w:r>
      <w:r w:rsidR="0058449E" w:rsidRPr="0058449E">
        <w:t>92 (2019: 159)</w:t>
      </w:r>
      <w:r w:rsidR="00054F0E">
        <w:t>, joista ilman toiminta-avustusta toimivien ryhmien kantaesityksiä oli 14 (2019: 37)</w:t>
      </w:r>
      <w:r w:rsidR="0091166C">
        <w:t>.</w:t>
      </w:r>
    </w:p>
    <w:p w14:paraId="177DC4D5" w14:textId="4EF4D0FB" w:rsidR="00B933EB" w:rsidRDefault="00B933EB" w:rsidP="00D568A6">
      <w:pPr>
        <w:jc w:val="both"/>
        <w:rPr>
          <w:color w:val="FF0000"/>
        </w:rPr>
      </w:pPr>
    </w:p>
    <w:p w14:paraId="6C4D6ACC" w14:textId="46054F59" w:rsidR="0033422F" w:rsidRDefault="00B933EB" w:rsidP="00D568A6">
      <w:pPr>
        <w:jc w:val="both"/>
      </w:pPr>
      <w:r w:rsidRPr="00B933EB">
        <w:t>Esitys</w:t>
      </w:r>
      <w:r w:rsidR="00054F0E">
        <w:t>- ja katsoja</w:t>
      </w:r>
      <w:r w:rsidRPr="00B933EB">
        <w:t>määrän</w:t>
      </w:r>
      <w:r w:rsidR="00D568A6">
        <w:t xml:space="preserve"> </w:t>
      </w:r>
      <w:r w:rsidRPr="00B933EB">
        <w:t xml:space="preserve">pudotus </w:t>
      </w:r>
      <w:r w:rsidR="004C676A">
        <w:t xml:space="preserve">edellisvuoteen verrattuna </w:t>
      </w:r>
      <w:r w:rsidRPr="00B933EB">
        <w:t xml:space="preserve">ollut </w:t>
      </w:r>
      <w:r w:rsidR="004C676A">
        <w:t xml:space="preserve">prosentuaalisesti </w:t>
      </w:r>
      <w:r w:rsidR="00D568A6">
        <w:t>suurinta</w:t>
      </w:r>
      <w:r w:rsidRPr="00B933EB">
        <w:t xml:space="preserve"> itsenäisillä koreografeilla sekä ilman toiminta-avustusta toimivilla ryhmillä</w:t>
      </w:r>
      <w:r w:rsidR="00FA66A6">
        <w:t xml:space="preserve">, mikä johtuu </w:t>
      </w:r>
      <w:r w:rsidR="00054F0E">
        <w:t xml:space="preserve">osaltaan </w:t>
      </w:r>
      <w:r w:rsidR="00FA66A6">
        <w:t xml:space="preserve">myös tilastoitavien ryhmien määrän laskusta, </w:t>
      </w:r>
      <w:r w:rsidR="00054F0E">
        <w:t>joka</w:t>
      </w:r>
      <w:r w:rsidR="00FA66A6">
        <w:t xml:space="preserve"> koskee juuri tätä segmenttiä. Ilman pitkäaikaista rahoitusta toimivien ryhmien ja koreografien</w:t>
      </w:r>
      <w:r w:rsidR="00D568A6" w:rsidRPr="00B933EB">
        <w:t xml:space="preserve"> </w:t>
      </w:r>
      <w:r w:rsidR="00FA66A6">
        <w:t>toimija</w:t>
      </w:r>
      <w:r w:rsidR="00D568A6" w:rsidRPr="00B933EB">
        <w:t xml:space="preserve">kohtaiset esitysmäärät ovat </w:t>
      </w:r>
      <w:r w:rsidR="00D568A6">
        <w:t xml:space="preserve">aiempinakin vuosina olleet </w:t>
      </w:r>
      <w:r w:rsidR="00D568A6" w:rsidRPr="00B933EB">
        <w:t>huomattavan alhaisi</w:t>
      </w:r>
      <w:r w:rsidR="00D568A6">
        <w:t>a ja vuonna 2020 esitysmäärät ovat pienentyneet entisestään: vain kahdeksasosa ylsi vähintään kymmeneen esityskertaan vuode</w:t>
      </w:r>
      <w:r w:rsidR="00054F0E">
        <w:t>n aikana</w:t>
      </w:r>
      <w:r w:rsidR="00D568A6">
        <w:t>.</w:t>
      </w:r>
    </w:p>
    <w:p w14:paraId="12816D95" w14:textId="77777777" w:rsidR="00280BC3" w:rsidRDefault="00280BC3" w:rsidP="00D568A6">
      <w:pPr>
        <w:jc w:val="both"/>
        <w:rPr>
          <w:b/>
        </w:rPr>
      </w:pPr>
    </w:p>
    <w:p w14:paraId="4DDA3B97" w14:textId="5838DE25" w:rsidR="0033422F" w:rsidRPr="00520E1C" w:rsidRDefault="00C349A1" w:rsidP="00D568A6">
      <w:pPr>
        <w:jc w:val="both"/>
        <w:rPr>
          <w:b/>
        </w:rPr>
      </w:pPr>
      <w:r>
        <w:rPr>
          <w:b/>
        </w:rPr>
        <w:t xml:space="preserve">Toiminta-avustusta </w:t>
      </w:r>
      <w:r w:rsidR="006210DA">
        <w:rPr>
          <w:b/>
        </w:rPr>
        <w:t>saavat ryhmät</w:t>
      </w:r>
    </w:p>
    <w:p w14:paraId="482CE81F" w14:textId="77777777" w:rsidR="00FD53A6" w:rsidRDefault="00FD53A6" w:rsidP="00D568A6">
      <w:pPr>
        <w:jc w:val="both"/>
      </w:pPr>
    </w:p>
    <w:p w14:paraId="0ADEE58F" w14:textId="1C64C1C7" w:rsidR="00D64BA0" w:rsidRDefault="00D64BA0" w:rsidP="00D568A6">
      <w:pPr>
        <w:jc w:val="both"/>
      </w:pPr>
      <w:r>
        <w:t>Tilastoista nähdään, että valtion toiminta-avustusta saavat ryhmät ovat toistaiseksi selvinneet vähimmillä vahingoilla koronakriisistä.</w:t>
      </w:r>
    </w:p>
    <w:p w14:paraId="7DA96CAB" w14:textId="77777777" w:rsidR="00D64BA0" w:rsidRDefault="00D64BA0" w:rsidP="00D568A6">
      <w:pPr>
        <w:jc w:val="both"/>
      </w:pPr>
    </w:p>
    <w:p w14:paraId="48479DE4" w14:textId="62B52BDD" w:rsidR="00D64BA0" w:rsidRPr="00E451FB" w:rsidRDefault="00280BC3" w:rsidP="00D568A6">
      <w:pPr>
        <w:jc w:val="both"/>
      </w:pPr>
      <w:r>
        <w:t>Vuonna 2020 valtion toiminta-avustusta saavia ryhmiä oli yhteensä 22 kappaletta</w:t>
      </w:r>
      <w:r w:rsidR="00283E04">
        <w:t xml:space="preserve">. Tämä on </w:t>
      </w:r>
      <w:r>
        <w:t xml:space="preserve"> hieman enemmän kuin edellisvuonna</w:t>
      </w:r>
      <w:r w:rsidR="0058449E">
        <w:t>, mikä nostaa tanssille myönnettyjen toiminta-avustusten kokonaissummaa</w:t>
      </w:r>
      <w:r>
        <w:t>.</w:t>
      </w:r>
      <w:r w:rsidR="0091166C">
        <w:t xml:space="preserve"> </w:t>
      </w:r>
      <w:r w:rsidR="00D64BA0" w:rsidRPr="00E451FB">
        <w:t>M</w:t>
      </w:r>
      <w:r w:rsidR="00283E04">
        <w:t>yös m</w:t>
      </w:r>
      <w:r w:rsidR="00D64BA0" w:rsidRPr="00E451FB">
        <w:t>uiden avustusten määrä nousi,</w:t>
      </w:r>
      <w:r w:rsidR="00283E04">
        <w:t xml:space="preserve"> mihin vaikuttaa tilastoitavien tahojen määrän lisäksi vuoden 2020 puolella myönnetyt koronatuet. </w:t>
      </w:r>
      <w:r w:rsidR="00D64BA0" w:rsidRPr="00E451FB">
        <w:t xml:space="preserve"> </w:t>
      </w:r>
    </w:p>
    <w:p w14:paraId="7B3F1E27" w14:textId="3F74C0C5" w:rsidR="004F3E07" w:rsidRPr="00280BC3" w:rsidRDefault="004F3E07" w:rsidP="00D568A6">
      <w:pPr>
        <w:jc w:val="both"/>
        <w:rPr>
          <w:color w:val="FF0000"/>
        </w:rPr>
      </w:pPr>
    </w:p>
    <w:p w14:paraId="53140C58" w14:textId="64DAF17A" w:rsidR="005E6514" w:rsidRPr="00283E04" w:rsidRDefault="006210DA" w:rsidP="00D568A6">
      <w:pPr>
        <w:jc w:val="both"/>
        <w:rPr>
          <w:color w:val="FF0000"/>
        </w:rPr>
      </w:pPr>
      <w:r>
        <w:t xml:space="preserve">Esityskertojen </w:t>
      </w:r>
      <w:r w:rsidR="00585259">
        <w:t xml:space="preserve">raju lasku ei </w:t>
      </w:r>
      <w:r w:rsidR="00283E04">
        <w:t xml:space="preserve">kuitenkaan </w:t>
      </w:r>
      <w:r w:rsidR="00585259">
        <w:t>näy suoraan toiminta-avustusta saavien ryhmien lipputuloissa ja esityspalkkioissa</w:t>
      </w:r>
      <w:r>
        <w:t>.</w:t>
      </w:r>
      <w:r w:rsidR="004F3E07" w:rsidRPr="006210DA">
        <w:t xml:space="preserve"> </w:t>
      </w:r>
      <w:r w:rsidR="00585259">
        <w:t>M</w:t>
      </w:r>
      <w:r w:rsidR="00CC02F4" w:rsidRPr="0058449E">
        <w:t xml:space="preserve">erkittävä </w:t>
      </w:r>
      <w:r w:rsidR="0058449E" w:rsidRPr="0058449E">
        <w:t>nousu</w:t>
      </w:r>
      <w:r w:rsidR="00CC02F4" w:rsidRPr="0058449E">
        <w:t xml:space="preserve"> vain parin toimijan luvuissa </w:t>
      </w:r>
      <w:r w:rsidR="00C174FF" w:rsidRPr="0058449E">
        <w:t>voi saada</w:t>
      </w:r>
      <w:r w:rsidR="00CC02F4" w:rsidRPr="0058449E">
        <w:t xml:space="preserve"> koko kentän yhteenlasketun tuloksen näyttämään </w:t>
      </w:r>
      <w:r w:rsidR="0058449E" w:rsidRPr="0058449E">
        <w:t>kohentuneelta</w:t>
      </w:r>
      <w:r w:rsidR="00882B7D" w:rsidRPr="0058449E">
        <w:t>.</w:t>
      </w:r>
      <w:r w:rsidR="0058449E">
        <w:t xml:space="preserve"> Lipputulojen nousuun voi vaikuttaa esimerkiksi </w:t>
      </w:r>
      <w:r w:rsidR="00054F0E">
        <w:t xml:space="preserve">toimijan </w:t>
      </w:r>
      <w:r w:rsidR="0058449E">
        <w:t>osallistuminen Taidetestaajat-hankkeeseen.</w:t>
      </w:r>
      <w:r w:rsidR="00882B7D" w:rsidRPr="0058449E">
        <w:t xml:space="preserve"> </w:t>
      </w:r>
    </w:p>
    <w:p w14:paraId="2FA5BD6C" w14:textId="0460A198" w:rsidR="00283E04" w:rsidRDefault="00283E04" w:rsidP="00D568A6">
      <w:pPr>
        <w:jc w:val="both"/>
        <w:rPr>
          <w:color w:val="FF0000"/>
        </w:rPr>
      </w:pPr>
    </w:p>
    <w:p w14:paraId="0A23F108" w14:textId="7CFAE851" w:rsidR="00283E04" w:rsidRPr="00280BC3" w:rsidRDefault="00283E04" w:rsidP="00D568A6">
      <w:pPr>
        <w:jc w:val="both"/>
        <w:rPr>
          <w:color w:val="FF0000"/>
        </w:rPr>
      </w:pPr>
      <w:r>
        <w:t>Taloustilastossa eivät näy freelancereina työskentelevien tanssijoiden ja koreografien tulot</w:t>
      </w:r>
      <w:r w:rsidR="00054F0E">
        <w:t>, jotka ovat vuoden 2020 aikana laskeneet merkittävästi</w:t>
      </w:r>
      <w:r>
        <w:t>.</w:t>
      </w:r>
    </w:p>
    <w:p w14:paraId="4D232146" w14:textId="77777777" w:rsidR="00D40576" w:rsidRDefault="00D40576" w:rsidP="00D568A6">
      <w:pPr>
        <w:jc w:val="both"/>
      </w:pPr>
    </w:p>
    <w:p w14:paraId="57C067D3" w14:textId="733EC58F" w:rsidR="00D40576" w:rsidRPr="00CC02F4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 w:rsidRPr="00CC02F4">
        <w:rPr>
          <w:i/>
        </w:rPr>
        <w:t>Vuoden 20</w:t>
      </w:r>
      <w:r w:rsidR="005F62C1">
        <w:rPr>
          <w:i/>
        </w:rPr>
        <w:t>20</w:t>
      </w:r>
      <w:r w:rsidRPr="00CC02F4">
        <w:rPr>
          <w:i/>
        </w:rPr>
        <w:t xml:space="preserve"> tanssitilastot kerättiin </w:t>
      </w:r>
      <w:r w:rsidR="005F62C1">
        <w:rPr>
          <w:i/>
        </w:rPr>
        <w:t>noin sadalta toimijalta</w:t>
      </w:r>
      <w:r w:rsidR="005F62C1" w:rsidRPr="00280BC3">
        <w:rPr>
          <w:i/>
          <w:color w:val="000000" w:themeColor="text1"/>
        </w:rPr>
        <w:t>.</w:t>
      </w:r>
      <w:r w:rsidR="00E93BFB">
        <w:rPr>
          <w:i/>
          <w:color w:val="FF0000"/>
        </w:rPr>
        <w:t xml:space="preserve"> </w:t>
      </w:r>
      <w:r w:rsidRPr="00CC02F4">
        <w:rPr>
          <w:i/>
        </w:rPr>
        <w:t>Tanssitilastot kokonaisuudessaan julkaistaan Tanssin tiedotuskeskuksen verkkosivustolla.</w:t>
      </w:r>
    </w:p>
    <w:p w14:paraId="0B5BEAFD" w14:textId="461CAB3D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0529D83" w14:textId="77777777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fi-FI"/>
        </w:rPr>
      </w:pPr>
      <w:r w:rsidRPr="00585F81">
        <w:rPr>
          <w:b/>
          <w:lang w:val="fi-FI"/>
        </w:rPr>
        <w:t xml:space="preserve">Tilastointiperusteet </w:t>
      </w:r>
    </w:p>
    <w:p w14:paraId="5C718DDE" w14:textId="77777777" w:rsidR="00D40576" w:rsidRPr="00585F81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fi-FI"/>
        </w:rPr>
      </w:pPr>
    </w:p>
    <w:p w14:paraId="0B5C7157" w14:textId="77777777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  <w:r w:rsidRPr="00585F81">
        <w:rPr>
          <w:lang w:val="fi-FI"/>
        </w:rPr>
        <w:t>Tanssin tilastoihin kootaan suomalaisten toimijoiden ammatti</w:t>
      </w:r>
      <w:r w:rsidRPr="00585F81">
        <w:rPr>
          <w:lang w:val="fi-FI"/>
        </w:rPr>
        <w:softHyphen/>
        <w:t>tanssiesitykset, niihin myydyt liput ja kokonaiskat</w:t>
      </w:r>
      <w:r w:rsidRPr="00585F81">
        <w:rPr>
          <w:lang w:val="fi-FI"/>
        </w:rPr>
        <w:softHyphen/>
        <w:t>sojamäärät sekä kantaesitykset. Muk</w:t>
      </w:r>
      <w:r>
        <w:rPr>
          <w:lang w:val="fi-FI"/>
        </w:rPr>
        <w:t xml:space="preserve">aan ei lasketa esimerkiksi </w:t>
      </w:r>
      <w:r w:rsidR="003C3CCE">
        <w:rPr>
          <w:lang w:val="fi-FI"/>
        </w:rPr>
        <w:t>televisioon</w:t>
      </w:r>
      <w:r w:rsidRPr="00585F81">
        <w:rPr>
          <w:lang w:val="fi-FI"/>
        </w:rPr>
        <w:t xml:space="preserve"> tai elokuva</w:t>
      </w:r>
      <w:r w:rsidR="003C3CCE">
        <w:rPr>
          <w:lang w:val="fi-FI"/>
        </w:rPr>
        <w:t>an</w:t>
      </w:r>
      <w:r w:rsidRPr="00585F81">
        <w:rPr>
          <w:lang w:val="fi-FI"/>
        </w:rPr>
        <w:t xml:space="preserve"> tehtyjä koreografi</w:t>
      </w:r>
      <w:r w:rsidRPr="00585F81">
        <w:rPr>
          <w:lang w:val="fi-FI"/>
        </w:rPr>
        <w:softHyphen/>
        <w:t xml:space="preserve">oita. </w:t>
      </w:r>
      <w:r w:rsidR="002957C8" w:rsidRPr="002957C8">
        <w:rPr>
          <w:lang w:val="fi-FI"/>
        </w:rPr>
        <w:t xml:space="preserve">Suomalaisten tanssiryhmien ja koreografien tuottamien </w:t>
      </w:r>
      <w:r w:rsidR="000D7160">
        <w:rPr>
          <w:lang w:val="fi-FI"/>
        </w:rPr>
        <w:t xml:space="preserve">ja järjestämien </w:t>
      </w:r>
      <w:r w:rsidR="002957C8" w:rsidRPr="002957C8">
        <w:rPr>
          <w:lang w:val="fi-FI"/>
        </w:rPr>
        <w:t>tanssielokuvien näytäntö- ja katsojamäärät Suomessa ja ulkomaill</w:t>
      </w:r>
      <w:r w:rsidR="000D7160">
        <w:rPr>
          <w:lang w:val="fi-FI"/>
        </w:rPr>
        <w:t>a on kerätty omaan tilastoonsa.</w:t>
      </w:r>
    </w:p>
    <w:p w14:paraId="7474DB76" w14:textId="77777777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</w:p>
    <w:p w14:paraId="42143B4C" w14:textId="290EC102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  <w:r w:rsidRPr="00585F81">
        <w:rPr>
          <w:lang w:val="fi-FI"/>
        </w:rPr>
        <w:t>Tilastotiedot kerätään suoraan tanssiryhmiltä, tuotantokeskuksilta, yksittäisiltä koreografeilta ja aluekeskuksilta. Ti</w:t>
      </w:r>
      <w:r w:rsidRPr="00585F81">
        <w:rPr>
          <w:lang w:val="fi-FI"/>
        </w:rPr>
        <w:softHyphen/>
        <w:t>lasto an</w:t>
      </w:r>
      <w:r w:rsidRPr="00585F81">
        <w:rPr>
          <w:lang w:val="fi-FI"/>
        </w:rPr>
        <w:softHyphen/>
        <w:t>taa varsin luotettavan kuv</w:t>
      </w:r>
      <w:r>
        <w:rPr>
          <w:lang w:val="fi-FI"/>
        </w:rPr>
        <w:t>an suomalaisen tanssin esitysvo</w:t>
      </w:r>
      <w:r w:rsidRPr="00585F81">
        <w:rPr>
          <w:lang w:val="fi-FI"/>
        </w:rPr>
        <w:t xml:space="preserve">lyymistä ja yleisömääristä. </w:t>
      </w:r>
    </w:p>
    <w:p w14:paraId="1D33AF26" w14:textId="77777777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</w:p>
    <w:p w14:paraId="62D304CB" w14:textId="147EA504" w:rsidR="00D40576" w:rsidRDefault="002F68C8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  <w:r>
        <w:rPr>
          <w:lang w:val="fi-FI"/>
        </w:rPr>
        <w:t>T</w:t>
      </w:r>
      <w:r w:rsidR="00D40576" w:rsidRPr="00585F81">
        <w:rPr>
          <w:lang w:val="fi-FI"/>
        </w:rPr>
        <w:t>eatteri- ja orkesterilain piirissä olev</w:t>
      </w:r>
      <w:r>
        <w:rPr>
          <w:lang w:val="fi-FI"/>
        </w:rPr>
        <w:t>ien</w:t>
      </w:r>
      <w:r w:rsidR="00D40576" w:rsidRPr="00585F81">
        <w:rPr>
          <w:lang w:val="fi-FI"/>
        </w:rPr>
        <w:t xml:space="preserve"> (VOS) tanssiryhmi</w:t>
      </w:r>
      <w:r>
        <w:rPr>
          <w:lang w:val="fi-FI"/>
        </w:rPr>
        <w:t>en</w:t>
      </w:r>
      <w:r w:rsidR="00D40576" w:rsidRPr="00585F81">
        <w:rPr>
          <w:lang w:val="fi-FI"/>
        </w:rPr>
        <w:t xml:space="preserve"> ja -tuo</w:t>
      </w:r>
      <w:r w:rsidR="00D40576">
        <w:rPr>
          <w:lang w:val="fi-FI"/>
        </w:rPr>
        <w:t>tantokesku</w:t>
      </w:r>
      <w:r w:rsidR="00B95452">
        <w:rPr>
          <w:lang w:val="fi-FI"/>
        </w:rPr>
        <w:t xml:space="preserve">ksien tiedot kerää </w:t>
      </w:r>
      <w:r w:rsidR="00C2112D" w:rsidRPr="00F45EE0">
        <w:rPr>
          <w:lang w:val="fi-FI"/>
        </w:rPr>
        <w:t>Teat</w:t>
      </w:r>
      <w:r w:rsidR="00C2112D" w:rsidRPr="00F45EE0">
        <w:rPr>
          <w:lang w:val="fi-FI"/>
        </w:rPr>
        <w:softHyphen/>
        <w:t>terin tie</w:t>
      </w:r>
      <w:r w:rsidR="00C2112D" w:rsidRPr="00F45EE0">
        <w:rPr>
          <w:lang w:val="fi-FI"/>
        </w:rPr>
        <w:softHyphen/>
        <w:t xml:space="preserve">dotuskeskus </w:t>
      </w:r>
      <w:r w:rsidR="00B95452" w:rsidRPr="00F45EE0">
        <w:rPr>
          <w:lang w:val="fi-FI"/>
        </w:rPr>
        <w:t>TINFO</w:t>
      </w:r>
      <w:r w:rsidR="00D40576" w:rsidRPr="00F45EE0">
        <w:rPr>
          <w:lang w:val="fi-FI"/>
        </w:rPr>
        <w:t>. Tanssin tiedotuskeskuksen</w:t>
      </w:r>
      <w:r w:rsidR="00D40576" w:rsidRPr="00585F81">
        <w:rPr>
          <w:lang w:val="fi-FI"/>
        </w:rPr>
        <w:t xml:space="preserve"> ko</w:t>
      </w:r>
      <w:r w:rsidR="00D40576" w:rsidRPr="00585F81">
        <w:rPr>
          <w:lang w:val="fi-FI"/>
        </w:rPr>
        <w:softHyphen/>
        <w:t>koamissa tanssin tilastoissa tiedot yhdistetään siten, että suuret laitosteatterit (Suomen Kansallis</w:t>
      </w:r>
      <w:r w:rsidR="00D40576" w:rsidRPr="00585F81">
        <w:rPr>
          <w:lang w:val="fi-FI"/>
        </w:rPr>
        <w:softHyphen/>
        <w:t xml:space="preserve">baletti, Helsinki </w:t>
      </w:r>
      <w:proofErr w:type="spellStart"/>
      <w:r w:rsidR="00D40576" w:rsidRPr="00585F81">
        <w:rPr>
          <w:lang w:val="fi-FI"/>
        </w:rPr>
        <w:t>Dance</w:t>
      </w:r>
      <w:proofErr w:type="spellEnd"/>
      <w:r w:rsidR="00D40576" w:rsidRPr="00585F81">
        <w:rPr>
          <w:lang w:val="fi-FI"/>
        </w:rPr>
        <w:t xml:space="preserve"> Company), VOS-toimijat, vapaat valtion toiminta-avustusta saaneet tanssiryhmät, muut vapaat ryhmät ja yksittäiset koreo</w:t>
      </w:r>
      <w:r w:rsidR="00D40576" w:rsidRPr="00585F81">
        <w:rPr>
          <w:lang w:val="fi-FI"/>
        </w:rPr>
        <w:softHyphen/>
        <w:t>grafit käsitellään omina alaryhminään.</w:t>
      </w:r>
    </w:p>
    <w:p w14:paraId="546BBE3B" w14:textId="77777777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</w:p>
    <w:p w14:paraId="446DB925" w14:textId="77777777" w:rsidR="00B57B1D" w:rsidRPr="00B57B1D" w:rsidRDefault="00B57B1D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  <w:r w:rsidRPr="00B57B1D">
        <w:rPr>
          <w:lang w:val="fi-FI"/>
        </w:rPr>
        <w:t>Tanssiryhmien ja koreografien yhteistuotannot sekä keskinäiset vierailut tilastoidaan molempien osapuolien kohdalle. Tästä syntyvät päällekkäiset luvut vähennetään kokonaiskatsojamääristä.  </w:t>
      </w:r>
    </w:p>
    <w:p w14:paraId="4064A6DE" w14:textId="77777777" w:rsidR="00B57B1D" w:rsidRPr="00B57B1D" w:rsidRDefault="00B57B1D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  <w:r w:rsidRPr="00B57B1D">
        <w:rPr>
          <w:lang w:val="fi-FI"/>
        </w:rPr>
        <w:lastRenderedPageBreak/>
        <w:t>Lisäksi kokonaisluvuista vähennetään myös yhteisesityksistä syntyvät päällekkäi</w:t>
      </w:r>
      <w:r w:rsidRPr="00B57B1D">
        <w:rPr>
          <w:lang w:val="fi-FI"/>
        </w:rPr>
        <w:softHyphen/>
        <w:t>syydet. Yhteistuotantojen osuus esitys- ja katsojamäärästä eritellään omassa sarakkeessaan. Keskikatsojaluku lasketaan myytyjen ja ilmaisten lippujen yhteismäärästä.</w:t>
      </w:r>
    </w:p>
    <w:p w14:paraId="70627819" w14:textId="77777777" w:rsidR="00B57B1D" w:rsidRDefault="00B57B1D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</w:p>
    <w:p w14:paraId="0CA6550A" w14:textId="77777777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  <w:r w:rsidRPr="00585F81">
        <w:rPr>
          <w:lang w:val="fi-FI"/>
        </w:rPr>
        <w:t>Tanssin alue</w:t>
      </w:r>
      <w:r w:rsidRPr="00585F81">
        <w:rPr>
          <w:lang w:val="fi-FI"/>
        </w:rPr>
        <w:softHyphen/>
        <w:t>keskusten toiminta eritellään omassa taulukossaan. Taulukko kertoo, kuinka monen kantaesityksen ja esityksen järjestämiseen aluekeskukset ovat osallistuneet, ja mikä on näi</w:t>
      </w:r>
      <w:r w:rsidRPr="00585F81">
        <w:rPr>
          <w:lang w:val="fi-FI"/>
        </w:rPr>
        <w:softHyphen/>
        <w:t xml:space="preserve">den esitysten katsojamäärä. Kokonaistilastoissa esitykset ja katsojat on tilastoitu tanssiryhmän tai koreografin kohdalle. </w:t>
      </w:r>
    </w:p>
    <w:p w14:paraId="64192125" w14:textId="77777777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</w:p>
    <w:p w14:paraId="33197158" w14:textId="77777777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  <w:r w:rsidRPr="00585F81">
        <w:rPr>
          <w:lang w:val="fi-FI"/>
        </w:rPr>
        <w:t>Suomalaisten tanssijoiden ja tanssiryhmien vierai</w:t>
      </w:r>
      <w:r w:rsidRPr="00585F81">
        <w:rPr>
          <w:lang w:val="fi-FI"/>
        </w:rPr>
        <w:softHyphen/>
        <w:t>lut ulkomailla eritellään omaksi tilastok</w:t>
      </w:r>
      <w:r w:rsidRPr="00585F81">
        <w:rPr>
          <w:lang w:val="fi-FI"/>
        </w:rPr>
        <w:softHyphen/>
        <w:t xml:space="preserve">seen, mutta ulkomaanvierailut sisältyvät myös kokonaisesitys- ja katsojamääriin. </w:t>
      </w:r>
    </w:p>
    <w:p w14:paraId="721DFBD5" w14:textId="77777777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</w:p>
    <w:p w14:paraId="0353036F" w14:textId="77777777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  <w:r w:rsidRPr="00585F81">
        <w:rPr>
          <w:lang w:val="fi-FI"/>
        </w:rPr>
        <w:t xml:space="preserve">Kantaesitysluettelo </w:t>
      </w:r>
      <w:r w:rsidR="00E95F1E">
        <w:rPr>
          <w:lang w:val="fi-FI"/>
        </w:rPr>
        <w:t>sisältää</w:t>
      </w:r>
      <w:r w:rsidRPr="00585F81">
        <w:rPr>
          <w:lang w:val="fi-FI"/>
        </w:rPr>
        <w:t xml:space="preserve"> tanssiryhmien ja koreografien ensi-illat. Suomalaisten koreografien kansainvälisille ryhmille tekemiä tilausteoksia ei lasketa kotimaisiksi kantaesityksiksi. Sen sijaan kantaesitys, joka toteutetaan yhteistuotantona suomalaisen ja kansainvälisen ryhmän välillä sisällytetään kantaesitysten kokonaislukumäärään.  </w:t>
      </w:r>
    </w:p>
    <w:p w14:paraId="22B75FEA" w14:textId="77777777" w:rsidR="00D40576" w:rsidRPr="00585F81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i-FI"/>
        </w:rPr>
      </w:pPr>
    </w:p>
    <w:p w14:paraId="6FE75C63" w14:textId="77777777" w:rsidR="00D40576" w:rsidRDefault="00D40576" w:rsidP="00D568A6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585F81">
        <w:rPr>
          <w:b/>
          <w:bCs/>
          <w:lang w:val="fi-FI"/>
        </w:rPr>
        <w:t>LISÄTIETOJA:</w:t>
      </w:r>
      <w:r w:rsidRPr="00585F81">
        <w:rPr>
          <w:lang w:val="fi-FI"/>
        </w:rPr>
        <w:t xml:space="preserve"> </w:t>
      </w:r>
      <w:r w:rsidRPr="00585F81">
        <w:rPr>
          <w:lang w:val="fi-FI"/>
        </w:rPr>
        <w:br/>
      </w:r>
      <w:r>
        <w:rPr>
          <w:lang w:val="fi-FI"/>
        </w:rPr>
        <w:t>Tanssin t</w:t>
      </w:r>
      <w:r w:rsidRPr="00585F81">
        <w:rPr>
          <w:lang w:val="fi-FI"/>
        </w:rPr>
        <w:t>iedotuskeskus, www.danceinfo.fi</w:t>
      </w:r>
    </w:p>
    <w:p w14:paraId="19D044A4" w14:textId="77777777" w:rsidR="008C4CDB" w:rsidRDefault="009F4E2A"/>
    <w:sectPr w:rsidR="008C4CDB" w:rsidSect="00243AFC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165D"/>
    <w:multiLevelType w:val="hybridMultilevel"/>
    <w:tmpl w:val="0518A6B6"/>
    <w:lvl w:ilvl="0" w:tplc="38440BA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76"/>
    <w:rsid w:val="0001703C"/>
    <w:rsid w:val="00022711"/>
    <w:rsid w:val="0003227A"/>
    <w:rsid w:val="00034FAD"/>
    <w:rsid w:val="00054F0E"/>
    <w:rsid w:val="00090DB4"/>
    <w:rsid w:val="000B3752"/>
    <w:rsid w:val="000B50E0"/>
    <w:rsid w:val="000B7C09"/>
    <w:rsid w:val="000C2017"/>
    <w:rsid w:val="000D7160"/>
    <w:rsid w:val="000F703B"/>
    <w:rsid w:val="00101038"/>
    <w:rsid w:val="001076B8"/>
    <w:rsid w:val="00110881"/>
    <w:rsid w:val="00115A22"/>
    <w:rsid w:val="00130141"/>
    <w:rsid w:val="0013657A"/>
    <w:rsid w:val="00160CBC"/>
    <w:rsid w:val="00184D25"/>
    <w:rsid w:val="001A211F"/>
    <w:rsid w:val="001D2D37"/>
    <w:rsid w:val="001E3A58"/>
    <w:rsid w:val="001E484F"/>
    <w:rsid w:val="001F1616"/>
    <w:rsid w:val="001F6DC0"/>
    <w:rsid w:val="00202ED1"/>
    <w:rsid w:val="00224CB3"/>
    <w:rsid w:val="0022587B"/>
    <w:rsid w:val="00243AFC"/>
    <w:rsid w:val="002628D8"/>
    <w:rsid w:val="00263E36"/>
    <w:rsid w:val="00270BCA"/>
    <w:rsid w:val="00280BC3"/>
    <w:rsid w:val="00282E1F"/>
    <w:rsid w:val="002830A8"/>
    <w:rsid w:val="00283E04"/>
    <w:rsid w:val="002957C8"/>
    <w:rsid w:val="002A7545"/>
    <w:rsid w:val="002B5CCC"/>
    <w:rsid w:val="002D4933"/>
    <w:rsid w:val="002F638B"/>
    <w:rsid w:val="002F68C8"/>
    <w:rsid w:val="002F6F38"/>
    <w:rsid w:val="0030409F"/>
    <w:rsid w:val="00322119"/>
    <w:rsid w:val="0033422F"/>
    <w:rsid w:val="00341538"/>
    <w:rsid w:val="00350EF6"/>
    <w:rsid w:val="0035161E"/>
    <w:rsid w:val="003566B6"/>
    <w:rsid w:val="00370CDF"/>
    <w:rsid w:val="00372518"/>
    <w:rsid w:val="00377089"/>
    <w:rsid w:val="00384EE3"/>
    <w:rsid w:val="00391823"/>
    <w:rsid w:val="00393A1C"/>
    <w:rsid w:val="003B55F4"/>
    <w:rsid w:val="003C3CCE"/>
    <w:rsid w:val="003C74B2"/>
    <w:rsid w:val="00402F3A"/>
    <w:rsid w:val="00426931"/>
    <w:rsid w:val="00460298"/>
    <w:rsid w:val="00461436"/>
    <w:rsid w:val="00466EC3"/>
    <w:rsid w:val="004B1529"/>
    <w:rsid w:val="004C676A"/>
    <w:rsid w:val="004D636A"/>
    <w:rsid w:val="004F3E07"/>
    <w:rsid w:val="00520E1C"/>
    <w:rsid w:val="00521105"/>
    <w:rsid w:val="005374D9"/>
    <w:rsid w:val="00544AC0"/>
    <w:rsid w:val="00552381"/>
    <w:rsid w:val="00553418"/>
    <w:rsid w:val="005624AA"/>
    <w:rsid w:val="00577205"/>
    <w:rsid w:val="00582262"/>
    <w:rsid w:val="0058449E"/>
    <w:rsid w:val="00585259"/>
    <w:rsid w:val="005A2714"/>
    <w:rsid w:val="005B38AE"/>
    <w:rsid w:val="005E50A0"/>
    <w:rsid w:val="005E6514"/>
    <w:rsid w:val="005F62C1"/>
    <w:rsid w:val="006210DA"/>
    <w:rsid w:val="00622AAA"/>
    <w:rsid w:val="00625C0D"/>
    <w:rsid w:val="00640326"/>
    <w:rsid w:val="00686C93"/>
    <w:rsid w:val="006B21C0"/>
    <w:rsid w:val="0071576D"/>
    <w:rsid w:val="007258B6"/>
    <w:rsid w:val="00747E95"/>
    <w:rsid w:val="00780450"/>
    <w:rsid w:val="007862ED"/>
    <w:rsid w:val="00790B02"/>
    <w:rsid w:val="007A0632"/>
    <w:rsid w:val="007D0FF0"/>
    <w:rsid w:val="007D4D66"/>
    <w:rsid w:val="007E4D72"/>
    <w:rsid w:val="007E4EFA"/>
    <w:rsid w:val="007F3C9C"/>
    <w:rsid w:val="007F3D5D"/>
    <w:rsid w:val="008008B5"/>
    <w:rsid w:val="00801142"/>
    <w:rsid w:val="00824CEF"/>
    <w:rsid w:val="00832B90"/>
    <w:rsid w:val="00882B7D"/>
    <w:rsid w:val="008A1065"/>
    <w:rsid w:val="008B1104"/>
    <w:rsid w:val="008B45A4"/>
    <w:rsid w:val="008E66DC"/>
    <w:rsid w:val="0091166C"/>
    <w:rsid w:val="009134F5"/>
    <w:rsid w:val="00930E50"/>
    <w:rsid w:val="0093367A"/>
    <w:rsid w:val="00955519"/>
    <w:rsid w:val="009A0617"/>
    <w:rsid w:val="009A21EE"/>
    <w:rsid w:val="009F4E2A"/>
    <w:rsid w:val="00A1608C"/>
    <w:rsid w:val="00A17844"/>
    <w:rsid w:val="00A17E7D"/>
    <w:rsid w:val="00A37D7E"/>
    <w:rsid w:val="00A54871"/>
    <w:rsid w:val="00AA0FC8"/>
    <w:rsid w:val="00AA2E4F"/>
    <w:rsid w:val="00AC6461"/>
    <w:rsid w:val="00AE05E4"/>
    <w:rsid w:val="00AE53E7"/>
    <w:rsid w:val="00AF15CC"/>
    <w:rsid w:val="00AF760F"/>
    <w:rsid w:val="00B25766"/>
    <w:rsid w:val="00B26889"/>
    <w:rsid w:val="00B272DE"/>
    <w:rsid w:val="00B3676E"/>
    <w:rsid w:val="00B42752"/>
    <w:rsid w:val="00B57B1D"/>
    <w:rsid w:val="00B83B67"/>
    <w:rsid w:val="00B933EB"/>
    <w:rsid w:val="00B95452"/>
    <w:rsid w:val="00B9636D"/>
    <w:rsid w:val="00BA6874"/>
    <w:rsid w:val="00BC0696"/>
    <w:rsid w:val="00BD5919"/>
    <w:rsid w:val="00BF4771"/>
    <w:rsid w:val="00C174FF"/>
    <w:rsid w:val="00C2112D"/>
    <w:rsid w:val="00C349A1"/>
    <w:rsid w:val="00C358F1"/>
    <w:rsid w:val="00C609AE"/>
    <w:rsid w:val="00C8012D"/>
    <w:rsid w:val="00C83DED"/>
    <w:rsid w:val="00C97DC3"/>
    <w:rsid w:val="00CC02F4"/>
    <w:rsid w:val="00CC4149"/>
    <w:rsid w:val="00CE2725"/>
    <w:rsid w:val="00D06DBB"/>
    <w:rsid w:val="00D1482F"/>
    <w:rsid w:val="00D40576"/>
    <w:rsid w:val="00D54908"/>
    <w:rsid w:val="00D568A6"/>
    <w:rsid w:val="00D64BA0"/>
    <w:rsid w:val="00D70D09"/>
    <w:rsid w:val="00DA052F"/>
    <w:rsid w:val="00DD46E0"/>
    <w:rsid w:val="00DE6AC2"/>
    <w:rsid w:val="00DF0F85"/>
    <w:rsid w:val="00DF6BCF"/>
    <w:rsid w:val="00E14DEF"/>
    <w:rsid w:val="00E22BFD"/>
    <w:rsid w:val="00E451FB"/>
    <w:rsid w:val="00E65106"/>
    <w:rsid w:val="00E720E2"/>
    <w:rsid w:val="00E84CAD"/>
    <w:rsid w:val="00E93BFB"/>
    <w:rsid w:val="00E95D13"/>
    <w:rsid w:val="00E95F1E"/>
    <w:rsid w:val="00EB2852"/>
    <w:rsid w:val="00ED113E"/>
    <w:rsid w:val="00EF66D0"/>
    <w:rsid w:val="00F31624"/>
    <w:rsid w:val="00F43668"/>
    <w:rsid w:val="00F45EE0"/>
    <w:rsid w:val="00F52333"/>
    <w:rsid w:val="00F547CE"/>
    <w:rsid w:val="00F86C3F"/>
    <w:rsid w:val="00FA66A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029F6"/>
  <w15:chartTrackingRefBased/>
  <w15:docId w15:val="{A1D23504-77F2-654B-83A4-8AF9C874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D40576"/>
    <w:pPr>
      <w:spacing w:line="276" w:lineRule="auto"/>
    </w:pPr>
    <w:rPr>
      <w:rFonts w:ascii="Arial" w:eastAsia="Arial" w:hAnsi="Arial" w:cs="Arial"/>
      <w:sz w:val="22"/>
      <w:szCs w:val="22"/>
      <w:lang w:val="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1624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2A75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A754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A7545"/>
    <w:rPr>
      <w:rFonts w:ascii="Arial" w:eastAsia="Arial" w:hAnsi="Arial" w:cs="Arial"/>
      <w:sz w:val="20"/>
      <w:szCs w:val="20"/>
      <w:lang w:val="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A75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A7545"/>
    <w:rPr>
      <w:rFonts w:ascii="Arial" w:eastAsia="Arial" w:hAnsi="Arial" w:cs="Arial"/>
      <w:b/>
      <w:bCs/>
      <w:sz w:val="20"/>
      <w:szCs w:val="20"/>
      <w:lang w:val="fi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A754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7545"/>
    <w:rPr>
      <w:rFonts w:ascii="Times New Roman" w:eastAsia="Arial" w:hAnsi="Times New Roman" w:cs="Times New Roman"/>
      <w:sz w:val="18"/>
      <w:szCs w:val="18"/>
      <w:lang w:val="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Microsoft Office User</cp:lastModifiedBy>
  <cp:revision>2</cp:revision>
  <cp:lastPrinted>2020-05-28T12:32:00Z</cp:lastPrinted>
  <dcterms:created xsi:type="dcterms:W3CDTF">2023-06-30T10:23:00Z</dcterms:created>
  <dcterms:modified xsi:type="dcterms:W3CDTF">2023-06-30T10:23:00Z</dcterms:modified>
</cp:coreProperties>
</file>